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 xml:space="preserve"> </w:t>
      </w:r>
    </w:p>
    <w:p>
      <w:pPr>
        <w:snapToGrid w:val="0"/>
        <w:spacing w:before="156" w:beforeLines="50"/>
        <w:jc w:val="center"/>
        <w:rPr>
          <w:rFonts w:hint="eastAsia" w:ascii="宋体" w:hAnsi="宋体" w:eastAsia="宋体"/>
          <w:b/>
          <w:color w:val="000000" w:themeColor="text1"/>
          <w:sz w:val="84"/>
          <w:szCs w:val="84"/>
          <w14:textFill>
            <w14:solidFill>
              <w14:schemeClr w14:val="tx1"/>
            </w14:solidFill>
          </w14:textFill>
        </w:rPr>
      </w:pPr>
    </w:p>
    <w:p>
      <w:pPr>
        <w:snapToGrid w:val="0"/>
        <w:spacing w:before="156" w:beforeLines="50"/>
        <w:jc w:val="center"/>
        <w:rPr>
          <w:rFonts w:hint="eastAsia" w:ascii="宋体" w:hAnsi="宋体" w:eastAsia="宋体"/>
          <w:b/>
          <w:bCs/>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竞价文件</w:t>
      </w:r>
    </w:p>
    <w:p>
      <w:pPr>
        <w:spacing w:line="360" w:lineRule="auto"/>
        <w:jc w:val="center"/>
        <w:rPr>
          <w:rFonts w:hint="eastAsia" w:ascii="宋体" w:hAnsi="宋体" w:eastAsia="宋体"/>
          <w:b/>
          <w:bCs/>
          <w:color w:val="000000" w:themeColor="text1"/>
          <w:sz w:val="24"/>
          <w:szCs w:val="24"/>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rPr>
          <w:rFonts w:hint="eastAsia" w:ascii="宋体" w:hAnsi="宋体" w:eastAsia="宋体"/>
          <w:color w:val="000000" w:themeColor="text1"/>
          <w:sz w:val="30"/>
          <w:szCs w:val="30"/>
          <w14:textFill>
            <w14:solidFill>
              <w14:schemeClr w14:val="tx1"/>
            </w14:solidFill>
          </w14:textFill>
        </w:rPr>
      </w:pPr>
    </w:p>
    <w:p>
      <w:pPr>
        <w:spacing w:line="360" w:lineRule="auto"/>
        <w:jc w:val="left"/>
        <w:rPr>
          <w:rFonts w:hint="eastAsia"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采购方式：</w:t>
      </w:r>
      <w:r>
        <w:rPr>
          <w:rFonts w:hint="eastAsia" w:ascii="宋体" w:hAnsi="宋体" w:eastAsia="宋体"/>
          <w:b/>
          <w:bCs/>
          <w:color w:val="000000" w:themeColor="text1"/>
          <w:sz w:val="28"/>
          <w:szCs w:val="32"/>
          <w14:textFill>
            <w14:solidFill>
              <w14:schemeClr w14:val="tx1"/>
            </w14:solidFill>
          </w14:textFill>
        </w:rPr>
        <w:t>线上</w:t>
      </w:r>
      <w:r>
        <w:rPr>
          <w:rFonts w:ascii="宋体" w:hAnsi="宋体" w:eastAsia="宋体"/>
          <w:b/>
          <w:bCs/>
          <w:color w:val="000000" w:themeColor="text1"/>
          <w:sz w:val="28"/>
          <w:szCs w:val="32"/>
          <w14:textFill>
            <w14:solidFill>
              <w14:schemeClr w14:val="tx1"/>
            </w14:solidFill>
          </w14:textFill>
        </w:rPr>
        <w:t>竞价</w:t>
      </w:r>
    </w:p>
    <w:p>
      <w:pPr>
        <w:spacing w:line="360" w:lineRule="auto"/>
        <w:ind w:left="1405" w:hanging="1405" w:hangingChars="500"/>
        <w:rPr>
          <w:rFonts w:hint="eastAsia" w:ascii="宋体" w:hAnsi="宋体" w:eastAsia="宋体"/>
          <w:b/>
          <w:bCs/>
          <w:color w:val="000000" w:themeColor="text1"/>
          <w:sz w:val="28"/>
          <w:szCs w:val="32"/>
          <w14:textFill>
            <w14:solidFill>
              <w14:schemeClr w14:val="tx1"/>
            </w14:solidFill>
          </w14:textFill>
        </w:rPr>
      </w:pPr>
      <w:r>
        <w:rPr>
          <w:rFonts w:ascii="宋体" w:hAnsi="宋体" w:eastAsia="宋体"/>
          <w:b/>
          <w:bCs/>
          <w:color w:val="000000" w:themeColor="text1"/>
          <w:sz w:val="28"/>
          <w:szCs w:val="32"/>
          <w14:textFill>
            <w14:solidFill>
              <w14:schemeClr w14:val="tx1"/>
            </w14:solidFill>
          </w14:textFill>
        </w:rPr>
        <w:t>项目</w:t>
      </w:r>
      <w:r>
        <w:rPr>
          <w:rFonts w:hint="eastAsia" w:ascii="宋体" w:hAnsi="宋体" w:eastAsia="宋体"/>
          <w:b/>
          <w:bCs/>
          <w:color w:val="000000" w:themeColor="text1"/>
          <w:sz w:val="28"/>
          <w:szCs w:val="32"/>
          <w14:textFill>
            <w14:solidFill>
              <w14:schemeClr w14:val="tx1"/>
            </w14:solidFill>
          </w14:textFill>
        </w:rPr>
        <w:t>名称</w:t>
      </w:r>
      <w:r>
        <w:rPr>
          <w:rFonts w:ascii="宋体" w:hAnsi="宋体" w:eastAsia="宋体"/>
          <w:b/>
          <w:bCs/>
          <w:color w:val="000000" w:themeColor="text1"/>
          <w:sz w:val="28"/>
          <w:szCs w:val="32"/>
          <w14:textFill>
            <w14:solidFill>
              <w14:schemeClr w14:val="tx1"/>
            </w14:solidFill>
          </w14:textFill>
        </w:rPr>
        <w:t>：</w:t>
      </w:r>
      <w:r>
        <w:rPr>
          <w:rFonts w:hint="eastAsia" w:ascii="宋体" w:hAnsi="宋体" w:eastAsia="宋体"/>
          <w:b/>
          <w:bCs/>
          <w:color w:val="000000" w:themeColor="text1"/>
          <w:sz w:val="28"/>
          <w:szCs w:val="32"/>
          <w14:textFill>
            <w14:solidFill>
              <w14:schemeClr w14:val="tx1"/>
            </w14:solidFill>
          </w14:textFill>
        </w:rPr>
        <w:t>广东省从化监狱狱内文体馆灯光、幕布等物品采购项目</w:t>
      </w:r>
    </w:p>
    <w:p>
      <w:pPr>
        <w:snapToGrid w:val="0"/>
        <w:spacing w:before="156" w:beforeLines="50" w:after="156" w:afterLines="50" w:line="360" w:lineRule="auto"/>
        <w:jc w:val="center"/>
        <w:rPr>
          <w:rFonts w:hint="eastAsia" w:ascii="宋体" w:hAnsi="宋体" w:eastAsia="宋体" w:cs="华文中宋"/>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hint="eastAsia"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hint="eastAsia" w:ascii="宋体" w:hAnsi="宋体" w:eastAsia="宋体" w:cs="华文中宋"/>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b/>
          <w:bCs/>
          <w:sz w:val="28"/>
          <w:szCs w:val="32"/>
        </w:rPr>
      </w:pPr>
      <w:bookmarkStart w:id="0" w:name="_Hlk109138098"/>
      <w:r>
        <w:rPr>
          <w:rFonts w:hint="eastAsia" w:ascii="宋体" w:hAnsi="宋体" w:eastAsia="宋体"/>
          <w:b/>
          <w:bCs/>
          <w:sz w:val="28"/>
          <w:szCs w:val="32"/>
        </w:rPr>
        <w:t>广东省从化监狱</w:t>
      </w:r>
    </w:p>
    <w:bookmarkEnd w:id="0"/>
    <w:p>
      <w:pPr>
        <w:autoSpaceDE w:val="0"/>
        <w:autoSpaceDN w:val="0"/>
        <w:adjustRightInd w:val="0"/>
        <w:snapToGrid w:val="0"/>
        <w:spacing w:line="360" w:lineRule="auto"/>
        <w:ind w:left="420" w:firstLine="420"/>
        <w:jc w:val="center"/>
        <w:rPr>
          <w:rFonts w:hint="eastAsia" w:ascii="宋体" w:hAnsi="宋体" w:eastAsia="宋体"/>
          <w:b/>
          <w:sz w:val="28"/>
        </w:rPr>
      </w:pPr>
      <w:r>
        <w:rPr>
          <w:rFonts w:hint="eastAsia" w:ascii="宋体" w:hAnsi="宋体" w:eastAsia="宋体"/>
          <w:b/>
          <w:sz w:val="28"/>
        </w:rPr>
        <w:t>采联国际招标采购集团有限公司</w:t>
      </w:r>
    </w:p>
    <w:p>
      <w:pPr>
        <w:autoSpaceDE w:val="0"/>
        <w:autoSpaceDN w:val="0"/>
        <w:adjustRightInd w:val="0"/>
        <w:snapToGrid w:val="0"/>
        <w:spacing w:line="360" w:lineRule="auto"/>
        <w:ind w:left="420" w:firstLine="420"/>
        <w:jc w:val="center"/>
        <w:rPr>
          <w:rFonts w:hint="eastAsia" w:ascii="宋体" w:hAnsi="宋体" w:eastAsia="宋体"/>
          <w:b/>
          <w:sz w:val="28"/>
        </w:rPr>
      </w:pPr>
      <w:r>
        <w:rPr>
          <w:rFonts w:hint="eastAsia" w:ascii="宋体" w:hAnsi="宋体" w:eastAsia="宋体"/>
          <w:b/>
          <w:sz w:val="28"/>
        </w:rPr>
        <w:t>二零二四年十一月</w:t>
      </w:r>
    </w:p>
    <w:p>
      <w:pPr>
        <w:autoSpaceDE w:val="0"/>
        <w:autoSpaceDN w:val="0"/>
        <w:adjustRightInd w:val="0"/>
        <w:snapToGrid w:val="0"/>
        <w:spacing w:line="360" w:lineRule="auto"/>
        <w:ind w:left="420" w:firstLine="420"/>
        <w:jc w:val="center"/>
        <w:rPr>
          <w:rFonts w:hint="eastAsia" w:ascii="宋体" w:hAnsi="宋体" w:eastAsia="宋体"/>
          <w:sz w:val="28"/>
        </w:rPr>
      </w:pPr>
    </w:p>
    <w:p>
      <w:pPr>
        <w:autoSpaceDE w:val="0"/>
        <w:autoSpaceDN w:val="0"/>
        <w:adjustRightInd w:val="0"/>
        <w:snapToGrid w:val="0"/>
        <w:spacing w:line="360" w:lineRule="auto"/>
        <w:ind w:left="420" w:firstLine="420"/>
        <w:jc w:val="center"/>
        <w:rPr>
          <w:rFonts w:hint="eastAsia" w:ascii="宋体" w:hAnsi="宋体" w:eastAsia="宋体"/>
          <w:b/>
          <w:bCs/>
          <w:sz w:val="28"/>
          <w:szCs w:val="32"/>
        </w:rPr>
        <w:sectPr>
          <w:headerReference r:id="rId3" w:type="default"/>
          <w:pgSz w:w="11906" w:h="16838"/>
          <w:pgMar w:top="1440" w:right="1800" w:bottom="1440" w:left="1800" w:header="851" w:footer="992" w:gutter="0"/>
          <w:cols w:space="720" w:num="1"/>
          <w:docGrid w:type="lines" w:linePitch="312" w:charSpace="0"/>
        </w:sectPr>
      </w:pPr>
    </w:p>
    <w:p>
      <w:pPr>
        <w:pStyle w:val="19"/>
        <w:spacing w:before="0" w:after="0"/>
        <w:rPr>
          <w:rFonts w:hint="eastAsia" w:ascii="宋体" w:hAnsi="宋体"/>
        </w:rPr>
      </w:pPr>
      <w:r>
        <w:rPr>
          <w:rFonts w:hint="eastAsia" w:ascii="宋体" w:hAnsi="宋体"/>
        </w:rPr>
        <w:t>第一章 竞价须知</w:t>
      </w:r>
    </w:p>
    <w:p>
      <w:pPr>
        <w:pStyle w:val="28"/>
        <w:numPr>
          <w:ilvl w:val="0"/>
          <w:numId w:val="2"/>
        </w:numPr>
        <w:spacing w:line="360" w:lineRule="auto"/>
        <w:ind w:firstLineChars="0"/>
        <w:rPr>
          <w:rFonts w:hint="eastAsia" w:ascii="宋体" w:hAnsi="宋体" w:eastAsia="宋体"/>
        </w:rPr>
      </w:pPr>
      <w:r>
        <w:rPr>
          <w:rFonts w:hint="eastAsia" w:ascii="宋体" w:hAnsi="宋体" w:eastAsia="宋体"/>
          <w:szCs w:val="21"/>
        </w:rPr>
        <w:t>本项目通过云采链线上采购一体化平台进行竞价，参与竞价的供应商必须登录平台进行注册，注册成功后方可参与项目竞价。</w:t>
      </w:r>
    </w:p>
    <w:p>
      <w:pPr>
        <w:pStyle w:val="28"/>
        <w:numPr>
          <w:ilvl w:val="0"/>
          <w:numId w:val="2"/>
        </w:numPr>
        <w:spacing w:line="360" w:lineRule="auto"/>
        <w:ind w:firstLineChars="0"/>
        <w:rPr>
          <w:rFonts w:hint="eastAsia" w:ascii="宋体" w:hAnsi="宋体" w:eastAsia="宋体"/>
        </w:rPr>
      </w:pPr>
      <w:r>
        <w:rPr>
          <w:rFonts w:ascii="宋体" w:hAnsi="宋体" w:eastAsia="宋体"/>
        </w:rPr>
        <w:t>语言要求</w:t>
      </w:r>
    </w:p>
    <w:p>
      <w:pPr>
        <w:spacing w:line="360" w:lineRule="auto"/>
        <w:ind w:left="420" w:leftChars="200"/>
        <w:rPr>
          <w:rFonts w:hint="eastAsia" w:ascii="宋体" w:hAnsi="宋体" w:eastAsia="宋体"/>
        </w:rPr>
      </w:pPr>
      <w:r>
        <w:rPr>
          <w:rFonts w:ascii="宋体" w:hAnsi="宋体" w:eastAsia="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spacing w:line="360" w:lineRule="auto"/>
        <w:rPr>
          <w:rFonts w:hint="eastAsia" w:ascii="宋体" w:hAnsi="宋体" w:eastAsia="宋体"/>
          <w:b/>
          <w:bCs/>
        </w:rPr>
      </w:pPr>
      <w:r>
        <w:rPr>
          <w:rFonts w:hint="eastAsia" w:ascii="宋体" w:hAnsi="宋体" w:eastAsia="宋体"/>
          <w:b/>
          <w:bCs/>
          <w:szCs w:val="21"/>
        </w:rPr>
        <w:t>三、在云采链平台参与项目竞价后放弃成交资格超过三次（含三次）的供应商连同该供应商同一法人名下所有公司将被列入平台黑名单，永久不得参与平台的项目竞价。</w:t>
      </w:r>
      <w:r>
        <w:rPr>
          <w:rFonts w:ascii="宋体" w:hAnsi="宋体" w:eastAsia="宋体"/>
          <w:b/>
          <w:bCs/>
          <w:szCs w:val="21"/>
        </w:rPr>
        <w:t xml:space="preserve">                                                                                                                                                                                                                                                                                                                                                                                                                                    </w:t>
      </w:r>
    </w:p>
    <w:p>
      <w:pPr>
        <w:spacing w:line="360" w:lineRule="auto"/>
        <w:rPr>
          <w:rFonts w:hint="eastAsia" w:ascii="宋体" w:hAnsi="宋体" w:eastAsia="宋体"/>
        </w:rPr>
      </w:pPr>
      <w:r>
        <w:rPr>
          <w:rFonts w:hint="eastAsia" w:ascii="宋体" w:hAnsi="宋体" w:eastAsia="宋体"/>
        </w:rPr>
        <w:t>四、竞价须知</w:t>
      </w:r>
    </w:p>
    <w:p>
      <w:pPr>
        <w:pStyle w:val="28"/>
        <w:numPr>
          <w:ilvl w:val="0"/>
          <w:numId w:val="3"/>
        </w:numPr>
        <w:spacing w:line="360" w:lineRule="auto"/>
        <w:ind w:firstLineChars="0"/>
        <w:rPr>
          <w:rFonts w:hint="eastAsia" w:ascii="宋体" w:hAnsi="宋体" w:eastAsia="宋体"/>
          <w:b/>
        </w:rPr>
      </w:pPr>
      <w:r>
        <w:rPr>
          <w:rStyle w:val="21"/>
          <w:rFonts w:hint="eastAsia" w:ascii="宋体" w:hAnsi="宋体" w:eastAsia="宋体"/>
          <w:bCs w:val="0"/>
        </w:rPr>
        <w:t>竞价说明</w:t>
      </w:r>
    </w:p>
    <w:p>
      <w:pPr>
        <w:pStyle w:val="28"/>
        <w:numPr>
          <w:ilvl w:val="0"/>
          <w:numId w:val="4"/>
        </w:numPr>
        <w:tabs>
          <w:tab w:val="left" w:pos="851"/>
        </w:tabs>
        <w:spacing w:line="360" w:lineRule="auto"/>
        <w:ind w:left="647" w:hanging="227" w:firstLineChars="0"/>
        <w:rPr>
          <w:rFonts w:hint="eastAsia" w:ascii="宋体" w:hAnsi="宋体" w:eastAsia="宋体"/>
        </w:rPr>
      </w:pPr>
      <w:r>
        <w:rPr>
          <w:rFonts w:hint="eastAsia" w:ascii="宋体" w:hAnsi="宋体" w:eastAsia="宋体"/>
          <w:szCs w:val="21"/>
        </w:rPr>
        <w:t>参与竞价的供应商应承担所有与准备和参加竞价有关的费用</w:t>
      </w:r>
      <w:r>
        <w:rPr>
          <w:rFonts w:hint="eastAsia" w:ascii="宋体" w:hAnsi="宋体" w:eastAsia="宋体" w:cs="宋体"/>
          <w:szCs w:val="21"/>
        </w:rPr>
        <w:t>，不论竞价的结果如何，采购人和代理机构均无义务和责任承担这些费用。</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参与竞价的</w:t>
      </w:r>
      <w:r>
        <w:rPr>
          <w:rFonts w:hint="eastAsia" w:ascii="宋体" w:hAnsi="宋体" w:eastAsia="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参与竞价的</w:t>
      </w:r>
      <w:r>
        <w:rPr>
          <w:rFonts w:hint="eastAsia" w:ascii="宋体" w:hAnsi="宋体" w:eastAsia="宋体"/>
          <w:szCs w:val="21"/>
          <w:lang w:val="zh-CN"/>
        </w:rPr>
        <w:t>供应商需对采购需求书的所有条款进行整体响应，采购需求书条款若有一条负偏离或不响应，</w:t>
      </w:r>
      <w:r>
        <w:rPr>
          <w:rFonts w:hint="eastAsia" w:ascii="宋体" w:hAnsi="宋体" w:eastAsia="宋体"/>
          <w:bCs/>
          <w:szCs w:val="21"/>
        </w:rPr>
        <w:t>不推荐为成交候选人</w:t>
      </w:r>
      <w:r>
        <w:rPr>
          <w:rFonts w:hint="eastAsia" w:ascii="宋体" w:hAnsi="宋体" w:eastAsia="宋体"/>
          <w:szCs w:val="21"/>
          <w:lang w:val="zh-CN"/>
        </w:rPr>
        <w:t>。</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szCs w:val="21"/>
        </w:rPr>
        <w:t>若成交供应商自身原因无法完成本项目，则采购人有权利保留追究责任。</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成交供应商因自身原因被取消成交资格，采购人可重新启动采购或按竞价公告规定顺延推选符合要求的供应商作为成交供应商。</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若本项目竞价采购失败，采购人将重新采购，届时采购人有权根据项目具体情况，决定重新采购项目的采购方式。</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b/>
          <w:bCs/>
        </w:rPr>
        <w:t xml:space="preserve">参与采购人项目竞价过程中有围标串标等违规情况或因自身原因放弃成交资格的供应商不得再参与采购人的项目竞价（如有特殊情况以采购人最终确认为准）。 </w:t>
      </w:r>
      <w:r>
        <w:rPr>
          <w:rFonts w:hint="eastAsia" w:ascii="宋体" w:hAnsi="宋体" w:eastAsia="宋体"/>
        </w:rPr>
        <w:t xml:space="preserve"> </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rPr>
        <w:t>如采购人或代理机构在审核或复核</w:t>
      </w:r>
      <w:r>
        <w:rPr>
          <w:rFonts w:hint="eastAsia" w:ascii="宋体" w:hAnsi="宋体" w:eastAsia="宋体"/>
          <w:szCs w:val="21"/>
        </w:rPr>
        <w:t>参与竞价的</w:t>
      </w:r>
      <w:r>
        <w:rPr>
          <w:rFonts w:hint="eastAsia" w:ascii="宋体" w:hAnsi="宋体" w:eastAsia="宋体"/>
        </w:rPr>
        <w:t>供应商所提交的竞价资料时，供应商须无条件配合；期间若发现存在弄虚作假或相关的失信记录或违反国家法律法规等相关的不良情形，采购人可取消其成交资格并保留追究责任的权力。</w:t>
      </w:r>
    </w:p>
    <w:p>
      <w:pPr>
        <w:pStyle w:val="28"/>
        <w:numPr>
          <w:ilvl w:val="0"/>
          <w:numId w:val="4"/>
        </w:numPr>
        <w:spacing w:line="360" w:lineRule="auto"/>
        <w:ind w:left="647" w:hanging="227" w:firstLineChars="0"/>
        <w:rPr>
          <w:rFonts w:hint="eastAsia" w:ascii="宋体" w:hAnsi="宋体" w:eastAsia="宋体"/>
        </w:rPr>
      </w:pPr>
      <w:r>
        <w:rPr>
          <w:rFonts w:hint="eastAsia" w:ascii="宋体" w:hAnsi="宋体" w:eastAsia="宋体" w:cs="宋体"/>
          <w:szCs w:val="21"/>
        </w:rPr>
        <w:t>参与竞价的供应商向我司咨询的有关项目事项，一切以竞价文件规定和竞价公告规定以及本公司的书面答复为准，其他一切形式均为个人意见，不代表本公司的意见；</w:t>
      </w:r>
    </w:p>
    <w:p>
      <w:pPr>
        <w:pStyle w:val="28"/>
        <w:numPr>
          <w:ilvl w:val="0"/>
          <w:numId w:val="4"/>
        </w:numPr>
        <w:spacing w:line="360" w:lineRule="auto"/>
        <w:ind w:left="732" w:hanging="312" w:firstLineChars="0"/>
        <w:rPr>
          <w:rFonts w:hint="eastAsia" w:ascii="宋体" w:hAnsi="宋体" w:eastAsia="宋体"/>
        </w:rPr>
      </w:pPr>
      <w:r>
        <w:rPr>
          <w:rFonts w:hint="eastAsia" w:ascii="宋体" w:hAnsi="宋体" w:eastAsia="宋体"/>
          <w:szCs w:val="21"/>
        </w:rPr>
        <w:t>参与竞价的供应商应认真阅读</w:t>
      </w:r>
      <w:r>
        <w:rPr>
          <w:rFonts w:hint="eastAsia" w:ascii="宋体" w:hAnsi="宋体" w:eastAsia="宋体" w:cs="宋体"/>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w:t>
      </w:r>
      <w:r>
        <w:rPr>
          <w:rFonts w:hint="eastAsia" w:ascii="宋体" w:hAnsi="宋体" w:eastAsia="宋体"/>
          <w:szCs w:val="21"/>
        </w:rPr>
        <w:t>或被认定为无效竞价。</w:t>
      </w:r>
    </w:p>
    <w:p>
      <w:pPr>
        <w:pStyle w:val="28"/>
        <w:numPr>
          <w:ilvl w:val="0"/>
          <w:numId w:val="4"/>
        </w:numPr>
        <w:spacing w:line="360" w:lineRule="auto"/>
        <w:ind w:left="732" w:hanging="312" w:firstLineChars="0"/>
        <w:rPr>
          <w:rFonts w:hint="eastAsia" w:ascii="宋体" w:hAnsi="宋体" w:eastAsia="宋体"/>
        </w:rPr>
      </w:pPr>
      <w:r>
        <w:rPr>
          <w:rFonts w:hint="eastAsia" w:ascii="宋体" w:hAnsi="宋体" w:eastAsia="宋体"/>
          <w:kern w:val="0"/>
          <w:szCs w:val="21"/>
        </w:rPr>
        <w:t>采购人有权拒绝接受任何不合格的货物或服务，由此产生的费用及相关后果均由成交供应商自行承担。</w:t>
      </w:r>
    </w:p>
    <w:p>
      <w:pPr>
        <w:pStyle w:val="28"/>
        <w:numPr>
          <w:ilvl w:val="0"/>
          <w:numId w:val="4"/>
        </w:numPr>
        <w:spacing w:line="360" w:lineRule="auto"/>
        <w:ind w:left="732" w:hanging="312" w:firstLineChars="0"/>
        <w:rPr>
          <w:rFonts w:hint="eastAsia" w:ascii="宋体" w:hAnsi="宋体" w:eastAsia="宋体"/>
        </w:rPr>
      </w:pPr>
      <w:r>
        <w:rPr>
          <w:rFonts w:ascii="宋体" w:hAnsi="宋体" w:eastAsia="宋体"/>
        </w:rPr>
        <w:t xml:space="preserve"> </w:t>
      </w:r>
      <w:r>
        <w:rPr>
          <w:rFonts w:hint="eastAsia" w:ascii="宋体" w:hAnsi="宋体" w:eastAsia="宋体"/>
        </w:rPr>
        <w:t>供应商认为竞价结果损害其权益的，应按照云采链平台相关指引在规定的时间内向采购人或代理机构提交书面质疑，不提交的视为无异议，</w:t>
      </w:r>
      <w:r>
        <w:rPr>
          <w:rFonts w:ascii="宋体" w:hAnsi="宋体" w:eastAsia="宋体"/>
        </w:rPr>
        <w:t>逾期提交将不予受理</w:t>
      </w:r>
      <w:r>
        <w:rPr>
          <w:rFonts w:hint="eastAsia" w:ascii="宋体" w:hAnsi="宋体" w:eastAsia="宋体"/>
        </w:rPr>
        <w:t>。</w:t>
      </w:r>
    </w:p>
    <w:p>
      <w:pPr>
        <w:pStyle w:val="28"/>
        <w:numPr>
          <w:ilvl w:val="0"/>
          <w:numId w:val="4"/>
        </w:numPr>
        <w:spacing w:line="360" w:lineRule="auto"/>
        <w:ind w:firstLineChars="0"/>
        <w:rPr>
          <w:rFonts w:hint="eastAsia" w:ascii="宋体" w:hAnsi="宋体" w:eastAsia="宋体"/>
        </w:rPr>
      </w:pPr>
      <w:r>
        <w:rPr>
          <w:rFonts w:hint="eastAsia" w:ascii="宋体" w:hAnsi="宋体" w:eastAsia="宋体"/>
          <w:szCs w:val="21"/>
        </w:rPr>
        <w:t>本竞价公告和竞价文件的解释权归</w:t>
      </w:r>
      <w:r>
        <w:rPr>
          <w:rFonts w:hint="eastAsia" w:ascii="宋体" w:hAnsi="宋体" w:eastAsia="宋体" w:cs="宋体"/>
          <w:szCs w:val="21"/>
        </w:rPr>
        <w:t>“云采链</w:t>
      </w:r>
      <w:r>
        <w:rPr>
          <w:rFonts w:hint="eastAsia" w:ascii="宋体" w:hAnsi="宋体" w:eastAsia="宋体"/>
        </w:rPr>
        <w:t>线上采购一体化平台</w:t>
      </w:r>
      <w:r>
        <w:rPr>
          <w:rFonts w:hint="eastAsia" w:ascii="宋体" w:hAnsi="宋体" w:eastAsia="宋体" w:cs="宋体"/>
          <w:szCs w:val="21"/>
        </w:rPr>
        <w:t>”所有。</w:t>
      </w:r>
    </w:p>
    <w:p>
      <w:pPr>
        <w:pStyle w:val="28"/>
        <w:numPr>
          <w:ilvl w:val="0"/>
          <w:numId w:val="3"/>
        </w:numPr>
        <w:spacing w:line="360" w:lineRule="auto"/>
        <w:ind w:firstLineChars="0"/>
        <w:rPr>
          <w:rFonts w:hint="eastAsia" w:ascii="宋体" w:hAnsi="宋体" w:eastAsia="宋体"/>
        </w:rPr>
      </w:pPr>
      <w:r>
        <w:rPr>
          <w:rFonts w:hint="eastAsia" w:ascii="宋体" w:hAnsi="宋体" w:eastAsia="宋体"/>
          <w:b/>
        </w:rPr>
        <w:t>竞价文件的澄清或修改</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采购人或者采购代理机构可以对已发出的竞价文件进行必要的澄清或者修改。澄清或者修改的内容将在云采链平台上发布澄清（更正/变更）公告。</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无论澄清或者修改的内容是否影响竞价，平台将以短信形式通知所有的报名供应商；报名供应商应按要求履行相应的义务；</w:t>
      </w:r>
      <w:r>
        <w:rPr>
          <w:rFonts w:hint="eastAsia" w:ascii="宋体" w:hAnsi="宋体" w:eastAsia="宋体" w:cs="宋体"/>
          <w:szCs w:val="21"/>
        </w:rPr>
        <w:t>如报名截止时间少于一个工作日的，</w:t>
      </w:r>
      <w:r>
        <w:rPr>
          <w:rFonts w:hint="eastAsia" w:ascii="宋体" w:hAnsi="宋体" w:eastAsia="宋体"/>
        </w:rPr>
        <w:t>采购人或者采购代理机构应当相应顺延报名的截止时间。</w:t>
      </w:r>
    </w:p>
    <w:p>
      <w:pPr>
        <w:pStyle w:val="28"/>
        <w:numPr>
          <w:ilvl w:val="0"/>
          <w:numId w:val="5"/>
        </w:numPr>
        <w:spacing w:line="360" w:lineRule="auto"/>
        <w:ind w:left="647" w:hanging="227" w:firstLineChars="0"/>
        <w:rPr>
          <w:rFonts w:hint="eastAsia" w:ascii="宋体" w:hAnsi="宋体" w:eastAsia="宋体"/>
        </w:rPr>
      </w:pPr>
      <w:r>
        <w:rPr>
          <w:rFonts w:hint="eastAsia" w:ascii="宋体" w:hAnsi="宋体" w:eastAsia="宋体"/>
        </w:rPr>
        <w:t>采购人或者采购代理机构发出的澄清或修改（更正/变更）的内容为竞价文件的组成部分，并对供应商具有约束力。</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报名要求（</w:t>
      </w:r>
      <w:r>
        <w:rPr>
          <w:rFonts w:hint="eastAsia" w:ascii="宋体" w:hAnsi="宋体" w:eastAsia="宋体"/>
          <w:szCs w:val="21"/>
        </w:rPr>
        <w:t>参与竞价的</w:t>
      </w:r>
      <w:r>
        <w:rPr>
          <w:rStyle w:val="21"/>
          <w:rFonts w:hint="eastAsia" w:ascii="宋体" w:hAnsi="宋体" w:eastAsia="宋体"/>
          <w:bCs w:val="0"/>
        </w:rPr>
        <w:t>供应商资质要求:</w:t>
      </w:r>
      <w:r>
        <w:rPr>
          <w:rStyle w:val="21"/>
          <w:rFonts w:hint="eastAsia" w:ascii="宋体" w:hAnsi="宋体" w:eastAsia="宋体"/>
          <w:b w:val="0"/>
          <w:szCs w:val="21"/>
        </w:rPr>
        <w:t xml:space="preserve"> 报名时需要提供以下</w:t>
      </w:r>
      <w:r>
        <w:rPr>
          <w:rStyle w:val="21"/>
          <w:rFonts w:hint="eastAsia" w:ascii="宋体" w:hAnsi="宋体" w:eastAsia="宋体"/>
          <w:szCs w:val="21"/>
          <w:u w:val="double"/>
        </w:rPr>
        <w:t>盖章</w:t>
      </w:r>
      <w:r>
        <w:rPr>
          <w:rStyle w:val="21"/>
          <w:rFonts w:hint="eastAsia" w:ascii="宋体" w:hAnsi="宋体" w:eastAsia="宋体"/>
          <w:b w:val="0"/>
          <w:szCs w:val="21"/>
        </w:rPr>
        <w:t>资料，</w:t>
      </w:r>
      <w:r>
        <w:rPr>
          <w:rFonts w:hint="eastAsia" w:ascii="宋体" w:hAnsi="宋体" w:eastAsia="宋体"/>
          <w:szCs w:val="21"/>
        </w:rPr>
        <w:t>并对上传的报名文件资料承担责任</w:t>
      </w:r>
      <w:r>
        <w:rPr>
          <w:rStyle w:val="21"/>
          <w:rFonts w:hint="eastAsia" w:ascii="宋体" w:hAnsi="宋体" w:eastAsia="宋体"/>
          <w:bCs w:val="0"/>
        </w:rPr>
        <w:t>）</w:t>
      </w:r>
    </w:p>
    <w:p>
      <w:pPr>
        <w:pStyle w:val="28"/>
        <w:numPr>
          <w:ilvl w:val="0"/>
          <w:numId w:val="6"/>
        </w:numPr>
        <w:spacing w:line="360" w:lineRule="auto"/>
        <w:ind w:left="647" w:hanging="227" w:firstLineChars="0"/>
        <w:rPr>
          <w:rFonts w:hint="eastAsia" w:ascii="宋体" w:hAnsi="宋体" w:eastAsia="宋体" w:cs="宋体"/>
          <w:kern w:val="0"/>
          <w:szCs w:val="20"/>
        </w:rPr>
      </w:pPr>
      <w:r>
        <w:rPr>
          <w:rFonts w:hint="eastAsia" w:ascii="宋体" w:hAnsi="宋体" w:eastAsia="宋体" w:cs="宋体"/>
          <w:kern w:val="0"/>
          <w:szCs w:val="20"/>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eastAsia="宋体" w:cs="宋体"/>
          <w:kern w:val="0"/>
          <w:szCs w:val="21"/>
        </w:rPr>
        <w:t>供应商完全响应本项目</w:t>
      </w:r>
      <w:r>
        <w:rPr>
          <w:rFonts w:hint="eastAsia" w:ascii="宋体" w:hAnsi="宋体" w:eastAsia="宋体"/>
          <w:szCs w:val="21"/>
          <w:lang w:val="zh-CN"/>
        </w:rPr>
        <w:t>采购</w:t>
      </w:r>
      <w:r>
        <w:rPr>
          <w:rFonts w:hint="eastAsia" w:ascii="宋体" w:hAnsi="宋体" w:eastAsia="宋体" w:cs="宋体"/>
          <w:kern w:val="0"/>
          <w:szCs w:val="21"/>
        </w:rPr>
        <w:t>需求的条款、内容及要求的，提供</w:t>
      </w:r>
      <w:r>
        <w:rPr>
          <w:rFonts w:hint="eastAsia" w:ascii="宋体" w:hAnsi="宋体" w:eastAsia="宋体"/>
          <w:szCs w:val="21"/>
          <w:lang w:val="zh-CN"/>
        </w:rPr>
        <w:t>采购</w:t>
      </w:r>
      <w:r>
        <w:rPr>
          <w:rFonts w:hint="eastAsia" w:ascii="宋体" w:hAnsi="宋体" w:eastAsia="宋体" w:cs="宋体"/>
          <w:kern w:val="0"/>
          <w:szCs w:val="21"/>
        </w:rPr>
        <w:t>需求书响应声明函即可</w:t>
      </w:r>
      <w:r>
        <w:rPr>
          <w:rFonts w:hint="eastAsia" w:ascii="宋体" w:hAnsi="宋体" w:eastAsia="宋体" w:cs="宋体"/>
          <w:b/>
          <w:kern w:val="0"/>
          <w:szCs w:val="21"/>
        </w:rPr>
        <w:t>，格式详见附件</w:t>
      </w:r>
      <w:r>
        <w:rPr>
          <w:rFonts w:hint="eastAsia" w:ascii="宋体" w:hAnsi="宋体" w:eastAsia="宋体" w:cs="宋体"/>
          <w:kern w:val="0"/>
          <w:szCs w:val="21"/>
        </w:rPr>
        <w:t>。</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cs="宋体"/>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hint="eastAsia" w:ascii="宋体" w:hAnsi="宋体" w:cs="宋体"/>
          <w:kern w:val="0"/>
          <w:szCs w:val="20"/>
        </w:rPr>
        <w:t>具有</w:t>
      </w:r>
      <w:r>
        <w:rPr>
          <w:rFonts w:ascii="宋体" w:hAnsi="宋体" w:cs="宋体"/>
          <w:kern w:val="0"/>
          <w:szCs w:val="20"/>
        </w:rPr>
        <w:t>履行合同所必需的货物、设备和专业技术能力；参加采购活动前3年内在经营活动中没有重大违法记录的书面声明；具备法律、行政法规规定的其他条件</w:t>
      </w:r>
      <w:r>
        <w:rPr>
          <w:rFonts w:hint="eastAsia" w:ascii="宋体" w:hAnsi="宋体" w:cs="宋体"/>
          <w:kern w:val="0"/>
          <w:szCs w:val="20"/>
        </w:rPr>
        <w:t>；</w:t>
      </w:r>
      <w:r>
        <w:rPr>
          <w:rFonts w:hint="eastAsia" w:ascii="宋体" w:hAnsi="宋体" w:eastAsia="宋体"/>
          <w:szCs w:val="21"/>
        </w:rPr>
        <w:t>在本项目中不允许转包分包且不接受联合竞价；法定代表人或单位负责人与所参投的本项目其他供应商的法定代表人或单位负责人不为同一人且与其他供应商之间不存在直接控股、管理关系；（提供《供应商资格声明函》，格式见附件）</w:t>
      </w:r>
      <w:r>
        <w:rPr>
          <w:rFonts w:hint="eastAsia" w:ascii="宋体" w:hAnsi="宋体" w:cs="宋体"/>
          <w:bCs/>
          <w:szCs w:val="21"/>
        </w:rPr>
        <w:t>。</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cs="宋体"/>
          <w:kern w:val="0"/>
          <w:szCs w:val="21"/>
        </w:rPr>
        <w:t>响应供应商未被列入“信用中国”网站(www.creditchina.gov.cn) 以下任何记录名单之一：①失信被执行人；②</w:t>
      </w:r>
      <w:r>
        <w:t>重大税收违法失信主体</w:t>
      </w:r>
      <w:r>
        <w:rPr>
          <w:rFonts w:hint="eastAsia" w:ascii="宋体" w:hAnsi="宋体" w:cs="宋体"/>
          <w:kern w:val="0"/>
          <w:szCs w:val="21"/>
        </w:rPr>
        <w:t>；③政府采购严重违法失信行为。</w:t>
      </w:r>
      <w:r>
        <w:t>同时，在中国政府采购网(www.ccgp.gov.cn)“政府采购严重违法失信行为信息记录”中查询没有处于禁止参加政府采购活动的记录名单。</w:t>
      </w:r>
      <w:r>
        <w:rPr>
          <w:rFonts w:hint="eastAsia" w:ascii="宋体" w:hAnsi="宋体" w:cs="宋体"/>
          <w:kern w:val="0"/>
          <w:szCs w:val="21"/>
        </w:rPr>
        <w:t>（提供报名期间的相关查询记录截图并加盖供应商公章，信用中国截图可前往信用中国网-信用服务①失信被执行人；②</w:t>
      </w:r>
      <w:r>
        <w:t>重大税收违法失信主体</w:t>
      </w:r>
      <w:r>
        <w:rPr>
          <w:rFonts w:hint="eastAsia" w:ascii="宋体" w:hAnsi="宋体" w:cs="宋体"/>
          <w:kern w:val="0"/>
          <w:szCs w:val="21"/>
        </w:rPr>
        <w:t>；③政府采购严重违法失信行为）以上四类查询分别截图加盖公章扫描为一个PDF文件上传。</w:t>
      </w:r>
    </w:p>
    <w:p>
      <w:pPr>
        <w:pStyle w:val="28"/>
        <w:widowControl/>
        <w:numPr>
          <w:ilvl w:val="0"/>
          <w:numId w:val="6"/>
        </w:numPr>
        <w:spacing w:line="360" w:lineRule="auto"/>
        <w:ind w:left="647" w:hanging="227" w:firstLineChars="0"/>
        <w:jc w:val="left"/>
        <w:rPr>
          <w:rFonts w:hint="eastAsia" w:ascii="宋体" w:hAnsi="宋体" w:eastAsia="宋体" w:cs="宋体"/>
          <w:kern w:val="0"/>
          <w:szCs w:val="20"/>
        </w:rPr>
      </w:pPr>
      <w:r>
        <w:rPr>
          <w:rFonts w:hint="eastAsia" w:ascii="宋体" w:hAnsi="宋体" w:eastAsia="宋体" w:cs="宋体"/>
          <w:kern w:val="0"/>
          <w:szCs w:val="20"/>
        </w:rPr>
        <w:t>供应商需提供以下资料：</w:t>
      </w:r>
      <w:r>
        <w:rPr>
          <w:rFonts w:ascii="宋体" w:hAnsi="宋体" w:eastAsia="宋体" w:cs="宋体"/>
          <w:kern w:val="0"/>
          <w:szCs w:val="20"/>
        </w:rPr>
        <w:br w:type="textWrapping"/>
      </w:r>
      <w:r>
        <w:rPr>
          <w:rFonts w:hint="eastAsia" w:ascii="宋体" w:hAnsi="宋体" w:eastAsia="宋体" w:cs="宋体"/>
          <w:kern w:val="0"/>
          <w:szCs w:val="20"/>
        </w:rPr>
        <w:t>①供应商拟派设备安装人员需持有效期内由应急管理部门颁发的《特种作业操作证》（作业类别：高处作业）。</w:t>
      </w:r>
      <w:r>
        <w:rPr>
          <w:rFonts w:ascii="宋体" w:hAnsi="宋体" w:eastAsia="宋体" w:cs="宋体"/>
          <w:kern w:val="0"/>
          <w:szCs w:val="20"/>
        </w:rPr>
        <w:br w:type="textWrapping"/>
      </w:r>
      <w:r>
        <w:rPr>
          <w:rFonts w:hint="eastAsia" w:ascii="宋体" w:hAnsi="宋体" w:eastAsia="宋体" w:cs="宋体"/>
          <w:kern w:val="0"/>
          <w:szCs w:val="20"/>
        </w:rPr>
        <w:t>②拟派设备安装人员，报名时需提供相关有效的意外险保险证明或承诺签约时提供。（提供相关证明文件或承诺函，承诺函格式详见附件，已购买的保险证明签约时备查）。</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报价要求</w:t>
      </w:r>
      <w:r>
        <w:rPr>
          <w:rStyle w:val="21"/>
          <w:rFonts w:hint="eastAsia" w:ascii="宋体" w:hAnsi="宋体" w:eastAsia="宋体"/>
          <w:szCs w:val="21"/>
        </w:rPr>
        <w:t>（</w:t>
      </w:r>
      <w:r>
        <w:rPr>
          <w:rStyle w:val="21"/>
          <w:rFonts w:hint="eastAsia" w:ascii="宋体" w:hAnsi="宋体" w:eastAsia="宋体"/>
          <w:b w:val="0"/>
          <w:szCs w:val="21"/>
        </w:rPr>
        <w:t>报价时需要提供以下</w:t>
      </w:r>
      <w:r>
        <w:rPr>
          <w:rStyle w:val="21"/>
          <w:rFonts w:hint="eastAsia" w:ascii="宋体" w:hAnsi="宋体" w:eastAsia="宋体"/>
          <w:szCs w:val="21"/>
          <w:u w:val="double"/>
        </w:rPr>
        <w:t>盖章</w:t>
      </w:r>
      <w:r>
        <w:rPr>
          <w:rStyle w:val="21"/>
          <w:rFonts w:hint="eastAsia" w:ascii="宋体" w:hAnsi="宋体" w:eastAsia="宋体"/>
          <w:b w:val="0"/>
          <w:szCs w:val="21"/>
        </w:rPr>
        <w:t>资料，</w:t>
      </w:r>
      <w:r>
        <w:rPr>
          <w:rFonts w:hint="eastAsia" w:ascii="宋体" w:hAnsi="宋体" w:eastAsia="宋体"/>
          <w:szCs w:val="21"/>
        </w:rPr>
        <w:t>并对上传的竞价文件资料承担责任</w:t>
      </w:r>
      <w:r>
        <w:rPr>
          <w:rStyle w:val="21"/>
          <w:rFonts w:hint="eastAsia" w:ascii="宋体" w:hAnsi="宋体" w:eastAsia="宋体"/>
          <w:szCs w:val="21"/>
        </w:rPr>
        <w:t>）</w:t>
      </w:r>
    </w:p>
    <w:p>
      <w:pPr>
        <w:pStyle w:val="28"/>
        <w:numPr>
          <w:ilvl w:val="0"/>
          <w:numId w:val="7"/>
        </w:numPr>
        <w:spacing w:line="360" w:lineRule="auto"/>
        <w:ind w:left="647" w:hanging="227" w:firstLineChars="0"/>
        <w:rPr>
          <w:rFonts w:hint="eastAsia" w:ascii="宋体" w:hAnsi="宋体" w:eastAsia="宋体"/>
        </w:rPr>
      </w:pPr>
      <w:r>
        <w:rPr>
          <w:rFonts w:hint="eastAsia" w:ascii="宋体" w:hAnsi="宋体" w:eastAsia="宋体"/>
          <w:szCs w:val="21"/>
        </w:rPr>
        <w:t>通过报名供应商应根据本公告要求，在规定的竞价时间内对采购项目进行报价，同时按本公告要求完整</w:t>
      </w:r>
      <w:r>
        <w:rPr>
          <w:rFonts w:hint="eastAsia" w:ascii="宋体" w:hAnsi="宋体" w:eastAsia="宋体" w:cs="宋体"/>
          <w:szCs w:val="21"/>
        </w:rPr>
        <w:t>、真实、准确地填写并</w:t>
      </w:r>
      <w:r>
        <w:rPr>
          <w:rFonts w:hint="eastAsia" w:ascii="宋体" w:hAnsi="宋体" w:eastAsia="宋体"/>
          <w:szCs w:val="21"/>
        </w:rPr>
        <w:t>上传相应报价附件（报价表）。</w:t>
      </w:r>
    </w:p>
    <w:p>
      <w:pPr>
        <w:pStyle w:val="28"/>
        <w:numPr>
          <w:ilvl w:val="0"/>
          <w:numId w:val="7"/>
        </w:numPr>
        <w:spacing w:line="360" w:lineRule="auto"/>
        <w:ind w:left="647" w:hanging="227" w:firstLineChars="0"/>
        <w:rPr>
          <w:rFonts w:hint="eastAsia" w:ascii="宋体" w:hAnsi="宋体" w:eastAsia="宋体"/>
          <w:b/>
          <w:u w:val="double"/>
        </w:rPr>
      </w:pPr>
      <w:r>
        <w:rPr>
          <w:rFonts w:hint="eastAsia" w:ascii="宋体" w:hAnsi="宋体" w:eastAsia="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28"/>
        <w:numPr>
          <w:ilvl w:val="0"/>
          <w:numId w:val="3"/>
        </w:numPr>
        <w:spacing w:line="360" w:lineRule="auto"/>
        <w:ind w:firstLineChars="0"/>
        <w:rPr>
          <w:rStyle w:val="21"/>
          <w:rFonts w:hint="eastAsia" w:ascii="宋体" w:hAnsi="宋体" w:eastAsia="宋体"/>
          <w:bCs w:val="0"/>
        </w:rPr>
      </w:pPr>
      <w:r>
        <w:rPr>
          <w:rStyle w:val="21"/>
          <w:rFonts w:hint="eastAsia" w:ascii="宋体" w:hAnsi="宋体" w:eastAsia="宋体"/>
          <w:bCs w:val="0"/>
        </w:rPr>
        <w:t>确定成交候选人</w:t>
      </w:r>
    </w:p>
    <w:p>
      <w:pPr>
        <w:pStyle w:val="28"/>
        <w:spacing w:line="360" w:lineRule="auto"/>
        <w:ind w:left="760" w:hanging="340" w:firstLineChars="0"/>
        <w:rPr>
          <w:rStyle w:val="21"/>
          <w:rFonts w:hint="eastAsia" w:ascii="宋体" w:hAnsi="宋体" w:eastAsia="宋体"/>
          <w:bCs w:val="0"/>
          <w:szCs w:val="21"/>
        </w:rPr>
      </w:pPr>
      <w:r>
        <w:rPr>
          <w:rFonts w:hint="eastAsia" w:ascii="宋体" w:hAnsi="宋体" w:eastAsia="宋体"/>
          <w:szCs w:val="21"/>
        </w:rPr>
        <w:t>1）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 （示例：如A项目采购一批饮用水，以实际供应量进行结算，该项目以下浮率形式报价，饮用水预算单价为20元/桶，某供应商报下浮率为10%，则成交单价=20元/桶*（1-10%）=18元/桶）。</w:t>
      </w:r>
    </w:p>
    <w:p>
      <w:pPr>
        <w:pStyle w:val="28"/>
        <w:numPr>
          <w:ilvl w:val="0"/>
          <w:numId w:val="3"/>
        </w:numPr>
        <w:spacing w:line="360" w:lineRule="auto"/>
        <w:ind w:firstLineChars="0"/>
        <w:rPr>
          <w:rFonts w:hint="eastAsia" w:ascii="宋体" w:hAnsi="宋体" w:eastAsia="宋体"/>
          <w:b/>
          <w:szCs w:val="21"/>
        </w:rPr>
      </w:pPr>
      <w:r>
        <w:rPr>
          <w:rFonts w:hint="eastAsia" w:ascii="宋体" w:hAnsi="宋体" w:eastAsia="宋体"/>
          <w:b/>
          <w:szCs w:val="21"/>
        </w:rPr>
        <w:t>无效报价</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下浮率报价没有大于或等于100%，也没有为负数，且是固定唯一值的，否则为无效报价</w:t>
      </w:r>
      <w:r>
        <w:rPr>
          <w:rFonts w:hint="eastAsia" w:ascii="宋体" w:hAnsi="宋体" w:eastAsia="宋体"/>
        </w:rPr>
        <w:t>；</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供应商须提供本项目要求的资质文件，如果不按公告规定或竞价文件要求等相关规定提供符合要求的资质文件，将被视为无效报价；</w:t>
      </w:r>
    </w:p>
    <w:p>
      <w:pPr>
        <w:pStyle w:val="28"/>
        <w:numPr>
          <w:ilvl w:val="0"/>
          <w:numId w:val="8"/>
        </w:numPr>
        <w:spacing w:line="360" w:lineRule="auto"/>
        <w:ind w:left="647" w:hanging="227" w:firstLineChars="0"/>
        <w:rPr>
          <w:rFonts w:hint="eastAsia" w:ascii="宋体" w:hAnsi="宋体" w:eastAsia="宋体"/>
          <w:szCs w:val="21"/>
        </w:rPr>
      </w:pPr>
      <w:r>
        <w:rPr>
          <w:rFonts w:hint="eastAsia" w:ascii="宋体" w:hAnsi="宋体" w:eastAsia="宋体"/>
          <w:szCs w:val="21"/>
        </w:rPr>
        <w:t>参与竞价的</w:t>
      </w:r>
      <w:r>
        <w:rPr>
          <w:rFonts w:hint="eastAsia" w:ascii="宋体" w:hAnsi="宋体" w:eastAsia="宋体"/>
          <w:bCs/>
          <w:szCs w:val="21"/>
        </w:rPr>
        <w:t>供应商须对本项目采购内容进行整体报价，任何只对其中一部分内容进行的报价都被视为无效报价；</w:t>
      </w:r>
    </w:p>
    <w:p>
      <w:pPr>
        <w:pStyle w:val="28"/>
        <w:numPr>
          <w:ilvl w:val="0"/>
          <w:numId w:val="8"/>
        </w:numPr>
        <w:spacing w:line="360" w:lineRule="auto"/>
        <w:ind w:left="647" w:hanging="227" w:firstLineChars="0"/>
        <w:rPr>
          <w:rFonts w:hint="eastAsia" w:ascii="宋体" w:hAnsi="宋体" w:eastAsia="宋体"/>
          <w:szCs w:val="21"/>
        </w:rPr>
      </w:pPr>
      <w:r>
        <w:rPr>
          <w:rFonts w:ascii="宋体" w:hAnsi="宋体" w:eastAsia="宋体"/>
          <w:u w:val="double"/>
        </w:rPr>
        <w:t>报价表</w:t>
      </w:r>
      <w:r>
        <w:rPr>
          <w:rFonts w:hint="eastAsia" w:ascii="宋体" w:hAnsi="宋体" w:eastAsia="宋体"/>
          <w:u w:val="double"/>
        </w:rPr>
        <w:t>以及有报价供应商落款的报价文件</w:t>
      </w:r>
      <w:r>
        <w:rPr>
          <w:rFonts w:ascii="宋体" w:hAnsi="宋体" w:eastAsia="宋体"/>
          <w:u w:val="double"/>
        </w:rPr>
        <w:t>必须加盖</w:t>
      </w:r>
      <w:r>
        <w:rPr>
          <w:rFonts w:hint="eastAsia" w:ascii="宋体" w:hAnsi="宋体" w:eastAsia="宋体"/>
          <w:u w:val="double"/>
        </w:rPr>
        <w:t>报价供应商</w:t>
      </w:r>
      <w:r>
        <w:rPr>
          <w:rFonts w:ascii="宋体" w:hAnsi="宋体" w:eastAsia="宋体"/>
          <w:u w:val="double"/>
        </w:rPr>
        <w:t>公章，否则视为无效报价</w:t>
      </w:r>
      <w:r>
        <w:rPr>
          <w:rFonts w:hint="eastAsia" w:ascii="宋体" w:hAnsi="宋体" w:eastAsia="宋体"/>
        </w:rPr>
        <w:t>；</w:t>
      </w:r>
    </w:p>
    <w:p>
      <w:pPr>
        <w:pStyle w:val="18"/>
        <w:numPr>
          <w:ilvl w:val="0"/>
          <w:numId w:val="8"/>
        </w:numPr>
        <w:shd w:val="clear" w:color="auto" w:fill="FFFFFF"/>
        <w:spacing w:before="0" w:beforeAutospacing="0" w:after="0" w:afterAutospacing="0" w:line="360" w:lineRule="auto"/>
        <w:ind w:left="647" w:hanging="227"/>
        <w:rPr>
          <w:rFonts w:hint="eastAsia"/>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pPr>
        <w:pStyle w:val="18"/>
        <w:numPr>
          <w:ilvl w:val="0"/>
          <w:numId w:val="8"/>
        </w:numPr>
        <w:shd w:val="clear" w:color="auto" w:fill="FFFFFF"/>
        <w:spacing w:before="0" w:beforeAutospacing="0" w:after="0" w:afterAutospacing="0" w:line="276" w:lineRule="auto"/>
        <w:rPr>
          <w:rFonts w:hint="eastAsia"/>
          <w:b/>
          <w:bCs/>
          <w:sz w:val="21"/>
          <w:szCs w:val="21"/>
          <w:u w:val="double"/>
        </w:rPr>
      </w:pPr>
      <w:r>
        <w:rPr>
          <w:rFonts w:hint="eastAsia"/>
          <w:b/>
          <w:bCs/>
          <w:sz w:val="21"/>
          <w:szCs w:val="21"/>
          <w:u w:val="double"/>
        </w:rPr>
        <w:t>按有关法律、法规、规章属于报价无效的；</w:t>
      </w:r>
    </w:p>
    <w:p>
      <w:pPr>
        <w:pStyle w:val="18"/>
        <w:numPr>
          <w:ilvl w:val="0"/>
          <w:numId w:val="8"/>
        </w:numPr>
        <w:shd w:val="clear" w:color="auto" w:fill="FFFFFF"/>
        <w:spacing w:before="0" w:beforeAutospacing="0" w:after="0" w:afterAutospacing="0" w:line="360" w:lineRule="auto"/>
        <w:rPr>
          <w:rFonts w:hint="eastAsia"/>
          <w:sz w:val="21"/>
          <w:szCs w:val="21"/>
        </w:rPr>
      </w:pPr>
      <w:r>
        <w:rPr>
          <w:rFonts w:hint="eastAsia"/>
          <w:b/>
          <w:sz w:val="21"/>
          <w:szCs w:val="21"/>
        </w:rPr>
        <w:t>有下列情形之一的，视为串通竞价，其报价无效：</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存在单位负责人为同一人或存在控股、管理关系的不同单位参与同一竞价项目；</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不同供应商的响应文件由同一单位或者个人编制；</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不同供应商委托同一单位或者个人办理竞价事宜；</w:t>
      </w:r>
    </w:p>
    <w:p>
      <w:pPr>
        <w:pStyle w:val="28"/>
        <w:widowControl/>
        <w:numPr>
          <w:ilvl w:val="2"/>
          <w:numId w:val="9"/>
        </w:numPr>
        <w:spacing w:line="360" w:lineRule="auto"/>
        <w:ind w:firstLineChars="0"/>
        <w:jc w:val="left"/>
        <w:rPr>
          <w:rFonts w:hint="eastAsia" w:ascii="宋体" w:hAnsi="宋体" w:eastAsia="宋体"/>
          <w:b/>
          <w:bCs/>
          <w:szCs w:val="21"/>
          <w:u w:val="double"/>
        </w:rPr>
      </w:pPr>
      <w:r>
        <w:rPr>
          <w:rFonts w:hint="eastAsia" w:ascii="宋体" w:hAnsi="宋体" w:eastAsia="宋体"/>
          <w:b/>
          <w:bCs/>
          <w:szCs w:val="21"/>
          <w:u w:val="double"/>
        </w:rPr>
        <w:t>不同供应商使用同一IP地址参与竞价；</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不同供应商的响应文件载明的项目管理成员或者联系人员为同一人；</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不同供应商的响应文件异常一致或者报价呈规律性差异；</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不同供应商的响应文件相互混淆；</w:t>
      </w:r>
    </w:p>
    <w:p>
      <w:pPr>
        <w:pStyle w:val="28"/>
        <w:widowControl/>
        <w:numPr>
          <w:ilvl w:val="2"/>
          <w:numId w:val="9"/>
        </w:numPr>
        <w:spacing w:line="360" w:lineRule="auto"/>
        <w:ind w:firstLineChars="0"/>
        <w:jc w:val="left"/>
        <w:rPr>
          <w:rFonts w:hint="eastAsia" w:ascii="宋体" w:hAnsi="宋体" w:eastAsia="宋体"/>
          <w:szCs w:val="21"/>
        </w:rPr>
      </w:pPr>
      <w:r>
        <w:rPr>
          <w:rFonts w:hint="eastAsia" w:ascii="宋体" w:hAnsi="宋体" w:eastAsia="宋体"/>
          <w:szCs w:val="21"/>
        </w:rPr>
        <w:t>不同供应商的平台使用费从同一单位或者个人的账户转出。</w:t>
      </w:r>
    </w:p>
    <w:p>
      <w:pPr>
        <w:pStyle w:val="28"/>
        <w:numPr>
          <w:ilvl w:val="0"/>
          <w:numId w:val="3"/>
        </w:numPr>
        <w:spacing w:line="360" w:lineRule="auto"/>
        <w:ind w:firstLineChars="0"/>
        <w:rPr>
          <w:rFonts w:hint="eastAsia" w:ascii="宋体" w:hAnsi="宋体" w:eastAsia="宋体"/>
          <w:szCs w:val="21"/>
        </w:rPr>
      </w:pPr>
      <w:r>
        <w:rPr>
          <w:rFonts w:hint="eastAsia" w:ascii="宋体" w:hAnsi="宋体" w:eastAsia="宋体"/>
          <w:b/>
          <w:szCs w:val="21"/>
        </w:rPr>
        <w:t>竞价活动失败</w:t>
      </w:r>
    </w:p>
    <w:p>
      <w:pPr>
        <w:pStyle w:val="28"/>
        <w:numPr>
          <w:ilvl w:val="0"/>
          <w:numId w:val="10"/>
        </w:numPr>
        <w:spacing w:line="360" w:lineRule="auto"/>
        <w:ind w:left="420" w:leftChars="200" w:firstLineChars="0"/>
        <w:rPr>
          <w:rFonts w:hint="eastAsia" w:ascii="宋体" w:hAnsi="宋体" w:eastAsia="宋体"/>
        </w:rPr>
      </w:pPr>
      <w:r>
        <w:rPr>
          <w:rFonts w:hint="eastAsia" w:ascii="宋体" w:hAnsi="宋体" w:eastAsia="宋体"/>
          <w:szCs w:val="21"/>
        </w:rPr>
        <w:t>出现下列情况的，本次竞价活动失败：</w:t>
      </w:r>
    </w:p>
    <w:p>
      <w:pPr>
        <w:pStyle w:val="28"/>
        <w:numPr>
          <w:ilvl w:val="0"/>
          <w:numId w:val="11"/>
        </w:numPr>
        <w:spacing w:line="360" w:lineRule="auto"/>
        <w:ind w:left="1260" w:leftChars="600" w:firstLineChars="0"/>
        <w:rPr>
          <w:rFonts w:hint="eastAsia" w:ascii="宋体" w:hAnsi="宋体" w:eastAsia="宋体"/>
        </w:rPr>
      </w:pPr>
      <w:r>
        <w:rPr>
          <w:rFonts w:hint="eastAsia" w:ascii="宋体" w:hAnsi="宋体" w:eastAsia="宋体"/>
        </w:rPr>
        <w:t>报名供应商不足3家；</w:t>
      </w:r>
    </w:p>
    <w:p>
      <w:pPr>
        <w:pStyle w:val="28"/>
        <w:numPr>
          <w:ilvl w:val="0"/>
          <w:numId w:val="11"/>
        </w:numPr>
        <w:spacing w:line="360" w:lineRule="auto"/>
        <w:ind w:left="1260" w:leftChars="600" w:firstLineChars="0"/>
        <w:rPr>
          <w:rFonts w:hint="eastAsia" w:ascii="宋体" w:hAnsi="宋体" w:eastAsia="宋体"/>
          <w:szCs w:val="21"/>
        </w:rPr>
      </w:pPr>
      <w:r>
        <w:rPr>
          <w:rFonts w:hint="eastAsia" w:ascii="宋体" w:hAnsi="宋体" w:eastAsia="宋体"/>
        </w:rPr>
        <w:t>报价供应商不足3家。</w:t>
      </w:r>
    </w:p>
    <w:p>
      <w:pPr>
        <w:pStyle w:val="28"/>
        <w:numPr>
          <w:ilvl w:val="0"/>
          <w:numId w:val="10"/>
        </w:numPr>
        <w:spacing w:line="360" w:lineRule="auto"/>
        <w:ind w:left="420" w:leftChars="200" w:firstLineChars="0"/>
        <w:rPr>
          <w:rFonts w:hint="eastAsia" w:ascii="宋体" w:hAnsi="宋体" w:eastAsia="宋体"/>
          <w:szCs w:val="21"/>
        </w:rPr>
      </w:pPr>
      <w:r>
        <w:rPr>
          <w:rFonts w:ascii="宋体" w:hAnsi="宋体" w:eastAsia="宋体"/>
          <w:szCs w:val="21"/>
        </w:rPr>
        <w:t>出现影响采购公正的违法、违规行为的</w:t>
      </w:r>
      <w:r>
        <w:rPr>
          <w:rFonts w:hint="eastAsia" w:ascii="宋体" w:hAnsi="宋体" w:eastAsia="宋体"/>
          <w:szCs w:val="21"/>
        </w:rPr>
        <w:t>；</w:t>
      </w:r>
    </w:p>
    <w:p>
      <w:pPr>
        <w:pStyle w:val="28"/>
        <w:numPr>
          <w:ilvl w:val="0"/>
          <w:numId w:val="10"/>
        </w:numPr>
        <w:spacing w:line="360" w:lineRule="auto"/>
        <w:ind w:left="420" w:leftChars="200" w:firstLineChars="0"/>
        <w:rPr>
          <w:rFonts w:hint="eastAsia" w:ascii="宋体" w:hAnsi="宋体" w:eastAsia="宋体"/>
          <w:szCs w:val="21"/>
        </w:rPr>
      </w:pPr>
      <w:r>
        <w:rPr>
          <w:rFonts w:ascii="宋体" w:hAnsi="宋体" w:eastAsia="宋体"/>
          <w:szCs w:val="21"/>
        </w:rPr>
        <w:t>因重大变故，采购任务取消的</w:t>
      </w:r>
      <w:r>
        <w:rPr>
          <w:rFonts w:hint="eastAsia" w:ascii="宋体" w:hAnsi="宋体" w:eastAsia="宋体"/>
          <w:szCs w:val="21"/>
        </w:rPr>
        <w:t>。</w:t>
      </w:r>
    </w:p>
    <w:p>
      <w:pPr>
        <w:pStyle w:val="28"/>
        <w:numPr>
          <w:ilvl w:val="0"/>
          <w:numId w:val="3"/>
        </w:numPr>
        <w:spacing w:line="360" w:lineRule="auto"/>
        <w:ind w:firstLineChars="0"/>
        <w:rPr>
          <w:rFonts w:hint="eastAsia" w:ascii="宋体" w:hAnsi="宋体" w:eastAsia="宋体"/>
          <w:b/>
          <w:szCs w:val="21"/>
        </w:rPr>
      </w:pPr>
      <w:r>
        <w:rPr>
          <w:rFonts w:hint="eastAsia" w:ascii="宋体" w:hAnsi="宋体" w:eastAsia="宋体"/>
          <w:b/>
          <w:szCs w:val="21"/>
        </w:rPr>
        <w:t>使用费</w:t>
      </w:r>
    </w:p>
    <w:p>
      <w:pPr>
        <w:pStyle w:val="28"/>
        <w:numPr>
          <w:ilvl w:val="0"/>
          <w:numId w:val="12"/>
        </w:numPr>
        <w:spacing w:line="360" w:lineRule="auto"/>
        <w:ind w:left="647" w:hanging="227" w:firstLineChars="0"/>
        <w:rPr>
          <w:rFonts w:hint="eastAsia" w:ascii="宋体" w:hAnsi="宋体" w:eastAsia="宋体"/>
        </w:rPr>
      </w:pPr>
      <w:r>
        <w:rPr>
          <w:rFonts w:hint="eastAsia" w:ascii="宋体" w:hAnsi="宋体" w:eastAsia="宋体"/>
        </w:rPr>
        <w:t>成交供应商须向平台服务商云采链线上采购一体化平台缴纳平台使用费，金额为成交金额的1.2%</w:t>
      </w:r>
      <w:r>
        <w:rPr>
          <w:rFonts w:hint="eastAsia" w:ascii="宋体" w:hAnsi="宋体" w:eastAsia="宋体"/>
          <w:b/>
        </w:rPr>
        <w:t>（四舍五入取整数）；</w:t>
      </w:r>
    </w:p>
    <w:p>
      <w:pPr>
        <w:pStyle w:val="28"/>
        <w:numPr>
          <w:ilvl w:val="0"/>
          <w:numId w:val="12"/>
        </w:numPr>
        <w:spacing w:line="360" w:lineRule="auto"/>
        <w:ind w:left="647" w:hanging="227" w:firstLineChars="0"/>
        <w:rPr>
          <w:rFonts w:hint="eastAsia" w:ascii="宋体" w:hAnsi="宋体" w:eastAsia="宋体"/>
        </w:rPr>
      </w:pPr>
      <w:r>
        <w:rPr>
          <w:rFonts w:hint="eastAsia" w:ascii="宋体" w:hAnsi="宋体" w:eastAsia="宋体"/>
        </w:rPr>
        <w:t>成交供应商无正当理由放弃成交资格的必须按竞价公告等相关规定缴纳相应的平台使用费；</w:t>
      </w:r>
    </w:p>
    <w:p>
      <w:pPr>
        <w:pStyle w:val="28"/>
        <w:numPr>
          <w:ilvl w:val="0"/>
          <w:numId w:val="12"/>
        </w:numPr>
        <w:spacing w:line="360" w:lineRule="auto"/>
        <w:ind w:left="647" w:hanging="227" w:firstLineChars="0"/>
        <w:rPr>
          <w:rFonts w:hint="eastAsia" w:ascii="宋体" w:hAnsi="宋体" w:eastAsia="宋体"/>
        </w:rPr>
      </w:pPr>
      <w:r>
        <w:rPr>
          <w:rFonts w:hint="eastAsia" w:ascii="宋体" w:hAnsi="宋体" w:eastAsia="宋体"/>
          <w:szCs w:val="21"/>
        </w:rPr>
        <w:t>如确实因不可抗力放弃成交资格的，应在不可抗力发生后三个工作日内予以通知采购代理机构并提供相关的证明；如逾期，采购代理机构不予退还平台使用费。</w:t>
      </w:r>
    </w:p>
    <w:p>
      <w:pPr>
        <w:widowControl/>
        <w:spacing w:line="360" w:lineRule="auto"/>
        <w:jc w:val="left"/>
        <w:rPr>
          <w:rFonts w:hint="eastAsia" w:ascii="宋体" w:hAnsi="宋体" w:eastAsia="宋体"/>
          <w:b/>
        </w:rPr>
      </w:pPr>
      <w:r>
        <w:rPr>
          <w:rFonts w:hint="eastAsia" w:ascii="宋体" w:hAnsi="宋体" w:eastAsia="宋体"/>
          <w:b/>
        </w:rPr>
        <w:t>五、联系方式</w:t>
      </w:r>
    </w:p>
    <w:p>
      <w:pPr>
        <w:pStyle w:val="28"/>
        <w:widowControl/>
        <w:spacing w:line="360" w:lineRule="auto"/>
        <w:ind w:left="420" w:firstLine="0" w:firstLineChars="0"/>
        <w:jc w:val="left"/>
        <w:rPr>
          <w:rFonts w:hint="eastAsia" w:ascii="宋体" w:hAnsi="宋体" w:eastAsia="宋体"/>
        </w:rPr>
      </w:pPr>
      <w:r>
        <w:rPr>
          <w:rFonts w:hint="eastAsia" w:ascii="宋体" w:hAnsi="宋体" w:eastAsia="宋体"/>
        </w:rPr>
        <w:t>1、</w:t>
      </w:r>
      <w:r>
        <w:rPr>
          <w:rFonts w:ascii="宋体" w:hAnsi="宋体" w:eastAsia="宋体"/>
        </w:rPr>
        <w:t>扫码关注微信公众号“云采链互联服务平台”，即可在线咨询相关事项</w:t>
      </w:r>
      <w:r>
        <w:rPr>
          <w:rFonts w:hint="eastAsia" w:ascii="宋体" w:hAnsi="宋体" w:eastAsia="宋体"/>
        </w:rPr>
        <w:t>。</w:t>
      </w:r>
    </w:p>
    <w:p>
      <w:pPr>
        <w:pStyle w:val="28"/>
        <w:widowControl/>
        <w:spacing w:line="360" w:lineRule="auto"/>
        <w:ind w:left="420" w:firstLine="0" w:firstLineChars="0"/>
        <w:jc w:val="center"/>
        <w:rPr>
          <w:rFonts w:hint="eastAsia" w:ascii="宋体" w:hAnsi="宋体" w:eastAsia="宋体"/>
          <w:b/>
        </w:rPr>
      </w:pPr>
      <w:r>
        <w:rPr>
          <w:rFonts w:hint="eastAsia" w:ascii="宋体" w:hAnsi="宋体" w:eastAsia="宋体"/>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pStyle w:val="28"/>
        <w:widowControl/>
        <w:spacing w:line="360" w:lineRule="auto"/>
        <w:ind w:left="420" w:firstLine="0" w:firstLineChars="0"/>
        <w:jc w:val="left"/>
      </w:pPr>
      <w:r>
        <w:rPr>
          <w:rFonts w:hint="eastAsia" w:ascii="宋体" w:hAnsi="宋体" w:eastAsia="宋体"/>
        </w:rPr>
        <w:t>2</w:t>
      </w:r>
      <w:r>
        <w:rPr>
          <w:rFonts w:ascii="宋体" w:hAnsi="宋体" w:eastAsia="宋体"/>
        </w:rPr>
        <w:t>、采购人</w:t>
      </w:r>
      <w:r>
        <w:t>联系人及联系电话：</w:t>
      </w:r>
    </w:p>
    <w:p>
      <w:pPr>
        <w:pStyle w:val="28"/>
        <w:widowControl/>
        <w:spacing w:line="360" w:lineRule="auto"/>
        <w:ind w:left="420" w:firstLine="0" w:firstLineChars="0"/>
        <w:jc w:val="left"/>
        <w:rPr>
          <w:rFonts w:hint="eastAsia" w:ascii="宋体" w:hAnsi="宋体" w:eastAsia="宋体"/>
        </w:rPr>
      </w:pPr>
      <w:r>
        <w:t>广东省</w:t>
      </w:r>
      <w:r>
        <w:rPr>
          <w:rFonts w:hint="eastAsia"/>
        </w:rPr>
        <w:t>从化</w:t>
      </w:r>
      <w:r>
        <w:t>监狱采购办余</w:t>
      </w:r>
      <w:r>
        <w:rPr>
          <w:rFonts w:ascii="宋体" w:hAnsi="宋体" w:eastAsia="宋体"/>
        </w:rPr>
        <w:t>先生</w:t>
      </w:r>
      <w:r>
        <w:rPr>
          <w:rFonts w:hint="eastAsia" w:ascii="宋体" w:hAnsi="宋体" w:eastAsia="宋体"/>
        </w:rPr>
        <w:t xml:space="preserve"> </w:t>
      </w:r>
      <w:r>
        <w:rPr>
          <w:rFonts w:ascii="宋体" w:hAnsi="宋体" w:eastAsia="宋体"/>
        </w:rPr>
        <w:t>020</w:t>
      </w:r>
      <w:r>
        <w:rPr>
          <w:rFonts w:hint="eastAsia" w:ascii="宋体" w:hAnsi="宋体" w:eastAsia="宋体"/>
        </w:rPr>
        <w:t>-</w:t>
      </w:r>
      <w:r>
        <w:rPr>
          <w:rFonts w:ascii="宋体" w:hAnsi="宋体" w:eastAsia="宋体"/>
        </w:rPr>
        <w:t>37976411。</w:t>
      </w:r>
    </w:p>
    <w:p>
      <w:pPr>
        <w:pStyle w:val="28"/>
        <w:widowControl/>
        <w:spacing w:line="360" w:lineRule="auto"/>
        <w:ind w:left="420" w:firstLine="0" w:firstLineChars="0"/>
        <w:jc w:val="left"/>
        <w:rPr>
          <w:rFonts w:hint="eastAsia" w:ascii="宋体" w:hAnsi="宋体" w:eastAsia="宋体"/>
        </w:rPr>
      </w:pPr>
      <w:r>
        <w:rPr>
          <w:rFonts w:hint="eastAsia" w:ascii="宋体" w:hAnsi="宋体" w:eastAsia="宋体"/>
        </w:rPr>
        <w:t>3</w:t>
      </w:r>
      <w:r>
        <w:rPr>
          <w:rFonts w:ascii="宋体" w:hAnsi="宋体" w:eastAsia="宋体"/>
        </w:rPr>
        <w:t>、监督部门及监督电话（监督电话不</w:t>
      </w:r>
      <w:r>
        <w:rPr>
          <w:rFonts w:hint="eastAsia" w:ascii="宋体" w:hAnsi="宋体" w:eastAsia="宋体"/>
        </w:rPr>
        <w:t>对</w:t>
      </w:r>
      <w:r>
        <w:rPr>
          <w:rFonts w:ascii="宋体" w:hAnsi="宋体" w:eastAsia="宋体"/>
        </w:rPr>
        <w:t>采购项目内容咨询进行解答）：</w:t>
      </w:r>
    </w:p>
    <w:p>
      <w:pPr>
        <w:pStyle w:val="28"/>
        <w:widowControl/>
        <w:spacing w:line="360" w:lineRule="auto"/>
        <w:ind w:left="420" w:firstLine="0" w:firstLineChars="0"/>
        <w:jc w:val="left"/>
      </w:pPr>
      <w:r>
        <w:rPr>
          <w:rFonts w:ascii="宋体" w:hAnsi="宋体" w:eastAsia="宋体"/>
        </w:rPr>
        <w:t>广东省</w:t>
      </w:r>
      <w:r>
        <w:rPr>
          <w:rFonts w:hint="eastAsia" w:ascii="宋体" w:hAnsi="宋体" w:eastAsia="宋体"/>
        </w:rPr>
        <w:t>从化</w:t>
      </w:r>
      <w:r>
        <w:rPr>
          <w:rFonts w:ascii="宋体" w:hAnsi="宋体" w:eastAsia="宋体"/>
        </w:rPr>
        <w:t>监狱纪检与审计科</w:t>
      </w:r>
      <w:r>
        <w:rPr>
          <w:rFonts w:hint="eastAsia" w:ascii="宋体" w:hAnsi="宋体" w:eastAsia="宋体"/>
        </w:rPr>
        <w:t xml:space="preserve"> </w:t>
      </w:r>
      <w:r>
        <w:rPr>
          <w:rFonts w:ascii="宋体" w:hAnsi="宋体" w:eastAsia="宋体"/>
        </w:rPr>
        <w:t>020</w:t>
      </w:r>
      <w:r>
        <w:rPr>
          <w:rFonts w:hint="eastAsia" w:ascii="宋体" w:hAnsi="宋体" w:eastAsia="宋体"/>
        </w:rPr>
        <w:t>-</w:t>
      </w:r>
      <w:r>
        <w:rPr>
          <w:rFonts w:ascii="宋体" w:hAnsi="宋体" w:eastAsia="宋体"/>
        </w:rPr>
        <w:t>37513900。</w:t>
      </w:r>
    </w:p>
    <w:p>
      <w:pPr>
        <w:pStyle w:val="28"/>
        <w:widowControl/>
        <w:spacing w:line="360" w:lineRule="auto"/>
        <w:ind w:left="420" w:firstLine="0" w:firstLineChars="0"/>
        <w:jc w:val="center"/>
        <w:rPr>
          <w:rFonts w:hint="eastAsia" w:ascii="宋体" w:hAnsi="宋体" w:eastAsia="宋体"/>
          <w:b/>
        </w:rPr>
      </w:pPr>
    </w:p>
    <w:p>
      <w:pPr>
        <w:pStyle w:val="19"/>
        <w:spacing w:before="0" w:after="0"/>
        <w:rPr>
          <w:rFonts w:hint="eastAsia" w:ascii="宋体" w:hAnsi="宋体"/>
          <w:lang w:val="zh-CN"/>
        </w:rPr>
      </w:pPr>
      <w:r>
        <w:rPr>
          <w:rFonts w:ascii="宋体" w:hAnsi="宋体"/>
        </w:rPr>
        <w:br w:type="page"/>
      </w:r>
      <w:r>
        <w:rPr>
          <w:rFonts w:hint="eastAsia" w:ascii="宋体" w:hAnsi="宋体"/>
          <w:lang w:val="zh-CN"/>
        </w:rPr>
        <w:t>第二章</w:t>
      </w:r>
      <w:r>
        <w:rPr>
          <w:rFonts w:hint="eastAsia" w:ascii="宋体" w:hAnsi="宋体"/>
          <w:szCs w:val="21"/>
          <w:lang w:val="zh-CN"/>
        </w:rPr>
        <w:t>采购</w:t>
      </w:r>
      <w:r>
        <w:rPr>
          <w:rFonts w:hint="eastAsia" w:ascii="宋体" w:hAnsi="宋体"/>
          <w:lang w:val="zh-CN"/>
        </w:rPr>
        <w:t>需求书</w:t>
      </w:r>
    </w:p>
    <w:p>
      <w:pPr>
        <w:snapToGrid w:val="0"/>
        <w:spacing w:line="360" w:lineRule="auto"/>
        <w:ind w:left="517" w:hanging="517" w:hangingChars="245"/>
        <w:rPr>
          <w:rFonts w:hint="eastAsia" w:ascii="宋体" w:hAnsi="宋体" w:eastAsia="宋体"/>
          <w:b/>
          <w:bCs/>
          <w:szCs w:val="21"/>
        </w:rPr>
      </w:pPr>
      <w:r>
        <w:rPr>
          <w:rFonts w:hint="eastAsia" w:ascii="宋体" w:hAnsi="宋体" w:eastAsia="宋体"/>
          <w:b/>
          <w:bCs/>
          <w:szCs w:val="21"/>
        </w:rPr>
        <w:t>说明：</w:t>
      </w:r>
    </w:p>
    <w:p>
      <w:pPr>
        <w:snapToGrid w:val="0"/>
        <w:spacing w:line="360" w:lineRule="auto"/>
        <w:rPr>
          <w:rFonts w:hint="eastAsia" w:ascii="宋体" w:hAnsi="宋体" w:eastAsia="宋体"/>
          <w:b/>
          <w:bCs/>
          <w:szCs w:val="21"/>
        </w:rPr>
      </w:pPr>
      <w:r>
        <w:rPr>
          <w:rFonts w:hint="eastAsia" w:ascii="宋体" w:hAnsi="宋体" w:eastAsia="宋体"/>
          <w:b/>
          <w:bCs/>
          <w:szCs w:val="21"/>
        </w:rPr>
        <w:t xml:space="preserve">响应供应商须对本项目进行整体响应，任何只对其中一部分进行的响应都被视为无效响应。 </w:t>
      </w:r>
    </w:p>
    <w:p>
      <w:pPr>
        <w:pStyle w:val="28"/>
        <w:numPr>
          <w:ilvl w:val="0"/>
          <w:numId w:val="13"/>
        </w:numPr>
        <w:snapToGrid w:val="0"/>
        <w:spacing w:line="360" w:lineRule="auto"/>
        <w:ind w:firstLineChars="0"/>
        <w:rPr>
          <w:rFonts w:hint="eastAsia" w:ascii="宋体" w:hAnsi="宋体" w:eastAsia="宋体"/>
          <w:b/>
          <w:bCs/>
          <w:szCs w:val="21"/>
        </w:rPr>
      </w:pPr>
      <w:r>
        <w:rPr>
          <w:rFonts w:hint="eastAsia" w:ascii="宋体" w:hAnsi="宋体" w:eastAsia="宋体"/>
          <w:b/>
          <w:bCs/>
        </w:rPr>
        <w:t>项目一览表</w:t>
      </w:r>
    </w:p>
    <w:tbl>
      <w:tblPr>
        <w:tblStyle w:val="24"/>
        <w:tblW w:w="907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962"/>
        <w:gridCol w:w="745"/>
        <w:gridCol w:w="3224"/>
        <w:gridCol w:w="21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676" w:hRule="atLeast"/>
          <w:jc w:val="center"/>
        </w:trPr>
        <w:tc>
          <w:tcPr>
            <w:tcW w:w="2962" w:type="dxa"/>
            <w:shd w:val="clear" w:color="auto" w:fill="EEECE1"/>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项目名称</w:t>
            </w:r>
          </w:p>
        </w:tc>
        <w:tc>
          <w:tcPr>
            <w:tcW w:w="745" w:type="dxa"/>
            <w:shd w:val="clear" w:color="auto" w:fill="EEECE1"/>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数量</w:t>
            </w:r>
          </w:p>
        </w:tc>
        <w:tc>
          <w:tcPr>
            <w:tcW w:w="3224" w:type="dxa"/>
            <w:shd w:val="clear" w:color="auto" w:fill="EEECE1"/>
            <w:vAlign w:val="center"/>
          </w:tcPr>
          <w:p>
            <w:pPr>
              <w:spacing w:line="360" w:lineRule="auto"/>
              <w:jc w:val="center"/>
              <w:rPr>
                <w:rFonts w:hint="eastAsia" w:ascii="宋体" w:hAnsi="宋体" w:eastAsia="宋体" w:cs="宋体"/>
                <w:b/>
                <w:color w:val="FF0000"/>
                <w:szCs w:val="21"/>
              </w:rPr>
            </w:pPr>
            <w:r>
              <w:rPr>
                <w:rFonts w:hint="eastAsia" w:ascii="宋体" w:hAnsi="宋体" w:eastAsia="宋体" w:cs="宋体"/>
                <w:b/>
                <w:szCs w:val="21"/>
              </w:rPr>
              <w:t>交付的期限</w:t>
            </w:r>
          </w:p>
        </w:tc>
        <w:tc>
          <w:tcPr>
            <w:tcW w:w="2141" w:type="dxa"/>
            <w:shd w:val="clear" w:color="auto" w:fill="EEECE1"/>
            <w:vAlign w:val="center"/>
          </w:tcPr>
          <w:p>
            <w:pPr>
              <w:spacing w:line="360" w:lineRule="auto"/>
              <w:jc w:val="center"/>
              <w:rPr>
                <w:rFonts w:hint="eastAsia" w:ascii="宋体" w:hAnsi="宋体" w:eastAsia="宋体" w:cs="宋体"/>
                <w:szCs w:val="21"/>
              </w:rPr>
            </w:pPr>
            <w:r>
              <w:rPr>
                <w:rFonts w:hint="eastAsia" w:ascii="宋体" w:hAnsi="宋体" w:eastAsia="宋体" w:cs="宋体"/>
                <w:b/>
                <w:szCs w:val="21"/>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123" w:hRule="atLeast"/>
          <w:jc w:val="center"/>
        </w:trPr>
        <w:tc>
          <w:tcPr>
            <w:tcW w:w="2962"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广东省从化监狱狱内文体馆灯光、幕布等物品采购项目</w:t>
            </w:r>
          </w:p>
        </w:tc>
        <w:tc>
          <w:tcPr>
            <w:tcW w:w="745" w:type="dxa"/>
            <w:vAlign w:val="center"/>
          </w:tcPr>
          <w:p>
            <w:pPr>
              <w:spacing w:line="460" w:lineRule="exact"/>
              <w:jc w:val="center"/>
              <w:rPr>
                <w:rFonts w:hint="eastAsia" w:ascii="宋体" w:hAnsi="宋体" w:eastAsia="宋体" w:cs="宋体"/>
                <w:bCs/>
                <w:szCs w:val="21"/>
              </w:rPr>
            </w:pPr>
            <w:r>
              <w:rPr>
                <w:rFonts w:hint="eastAsia" w:ascii="宋体" w:hAnsi="宋体" w:eastAsia="宋体" w:cs="宋体"/>
                <w:bCs/>
                <w:szCs w:val="21"/>
              </w:rPr>
              <w:t>1批</w:t>
            </w:r>
          </w:p>
        </w:tc>
        <w:tc>
          <w:tcPr>
            <w:tcW w:w="3224" w:type="dxa"/>
            <w:vAlign w:val="center"/>
          </w:tcPr>
          <w:p>
            <w:pPr>
              <w:spacing w:line="360" w:lineRule="auto"/>
              <w:jc w:val="center"/>
              <w:rPr>
                <w:rFonts w:hint="eastAsia" w:ascii="宋体" w:hAnsi="宋体" w:eastAsia="宋体" w:cs="宋体"/>
                <w:color w:val="FF0000"/>
                <w:szCs w:val="21"/>
              </w:rPr>
            </w:pPr>
            <w:r>
              <w:rPr>
                <w:rFonts w:hint="eastAsia" w:ascii="宋体" w:hAnsi="宋体" w:eastAsia="宋体" w:cs="宋体"/>
                <w:szCs w:val="21"/>
              </w:rPr>
              <w:t>合同签订后30个自然日完成设备安装调试并通过验收交付使用</w:t>
            </w:r>
          </w:p>
        </w:tc>
        <w:tc>
          <w:tcPr>
            <w:tcW w:w="2141" w:type="dxa"/>
            <w:vAlign w:val="center"/>
          </w:tcPr>
          <w:p>
            <w:pPr>
              <w:jc w:val="center"/>
            </w:pPr>
            <w:r>
              <w:rPr>
                <w:rFonts w:hint="eastAsia" w:ascii="宋体" w:hAnsi="宋体" w:cs="宋体"/>
              </w:rPr>
              <w:t>人民币267222.98元</w:t>
            </w:r>
          </w:p>
        </w:tc>
      </w:tr>
    </w:tbl>
    <w:p>
      <w:pPr>
        <w:pStyle w:val="28"/>
        <w:numPr>
          <w:ilvl w:val="0"/>
          <w:numId w:val="13"/>
        </w:numPr>
        <w:snapToGrid w:val="0"/>
        <w:spacing w:line="360" w:lineRule="auto"/>
        <w:ind w:firstLineChars="0"/>
        <w:rPr>
          <w:rFonts w:hint="eastAsia" w:ascii="宋体" w:hAnsi="宋体" w:eastAsia="宋体"/>
          <w:b/>
          <w:bCs/>
          <w:szCs w:val="21"/>
        </w:rPr>
      </w:pPr>
      <w:bookmarkStart w:id="1" w:name="_Hlk164951376"/>
      <w:r>
        <w:rPr>
          <w:rFonts w:hint="eastAsia" w:ascii="宋体" w:hAnsi="宋体" w:eastAsia="宋体"/>
          <w:b/>
          <w:bCs/>
          <w:szCs w:val="21"/>
        </w:rPr>
        <w:t>项目概况</w:t>
      </w:r>
    </w:p>
    <w:p>
      <w:pPr>
        <w:pStyle w:val="28"/>
        <w:snapToGrid w:val="0"/>
        <w:spacing w:line="360" w:lineRule="auto"/>
        <w:rPr>
          <w:rFonts w:hint="eastAsia" w:ascii="宋体" w:hAnsi="宋体" w:eastAsia="宋体" w:cs="宋体"/>
          <w:szCs w:val="21"/>
        </w:rPr>
      </w:pPr>
      <w:r>
        <w:rPr>
          <w:rFonts w:hint="eastAsia" w:ascii="宋体" w:hAnsi="宋体" w:eastAsia="宋体" w:cs="宋体"/>
          <w:szCs w:val="21"/>
        </w:rPr>
        <w:t>（一）项目名称：广东省从化监狱狱内文体馆灯光、幕布等物品采购项目。</w:t>
      </w:r>
    </w:p>
    <w:p>
      <w:pPr>
        <w:pStyle w:val="28"/>
        <w:snapToGrid w:val="0"/>
        <w:spacing w:line="360" w:lineRule="auto"/>
        <w:rPr>
          <w:rFonts w:hint="eastAsia" w:ascii="宋体" w:hAnsi="宋体" w:eastAsia="宋体" w:cs="宋体"/>
          <w:szCs w:val="21"/>
        </w:rPr>
      </w:pPr>
      <w:r>
        <w:rPr>
          <w:rFonts w:hint="eastAsia" w:ascii="宋体" w:hAnsi="宋体" w:eastAsia="宋体" w:cs="宋体"/>
          <w:szCs w:val="21"/>
        </w:rPr>
        <w:t>（二）</w:t>
      </w:r>
      <w:r>
        <w:rPr>
          <w:rFonts w:ascii="宋体" w:hAnsi="宋体" w:eastAsia="宋体" w:cs="宋体"/>
          <w:szCs w:val="21"/>
        </w:rPr>
        <w:t>采购</w:t>
      </w:r>
      <w:r>
        <w:rPr>
          <w:rFonts w:hint="eastAsia" w:ascii="宋体" w:hAnsi="宋体" w:eastAsia="宋体" w:cs="宋体"/>
          <w:szCs w:val="21"/>
        </w:rPr>
        <w:t>最高限价</w:t>
      </w:r>
      <w:r>
        <w:rPr>
          <w:rFonts w:ascii="宋体" w:hAnsi="宋体" w:eastAsia="宋体" w:cs="宋体"/>
          <w:szCs w:val="21"/>
        </w:rPr>
        <w:t>：</w:t>
      </w:r>
      <w:r>
        <w:rPr>
          <w:rFonts w:hint="eastAsia" w:ascii="宋体" w:hAnsi="宋体" w:eastAsia="宋体" w:cs="宋体"/>
          <w:szCs w:val="21"/>
        </w:rPr>
        <w:t>人民币267222.98元。</w:t>
      </w:r>
    </w:p>
    <w:p>
      <w:pPr>
        <w:pStyle w:val="28"/>
        <w:snapToGrid w:val="0"/>
        <w:spacing w:line="360" w:lineRule="auto"/>
        <w:rPr>
          <w:rFonts w:hint="eastAsia" w:ascii="宋体" w:hAnsi="宋体" w:eastAsia="宋体"/>
          <w:b/>
          <w:bCs/>
          <w:szCs w:val="21"/>
        </w:rPr>
      </w:pPr>
      <w:r>
        <w:rPr>
          <w:rFonts w:hint="eastAsia" w:ascii="宋体" w:hAnsi="宋体" w:eastAsia="宋体" w:cs="宋体"/>
          <w:szCs w:val="21"/>
        </w:rPr>
        <w:t>（三）项目要求：成交供应商按采购人</w:t>
      </w:r>
      <w:r>
        <w:rPr>
          <w:rFonts w:ascii="宋体" w:hAnsi="宋体" w:eastAsia="宋体" w:cs="宋体"/>
          <w:szCs w:val="21"/>
        </w:rPr>
        <w:t>需求</w:t>
      </w:r>
      <w:r>
        <w:rPr>
          <w:rFonts w:hint="eastAsia" w:ascii="宋体" w:hAnsi="宋体" w:eastAsia="宋体" w:cs="宋体"/>
          <w:szCs w:val="21"/>
        </w:rPr>
        <w:t>整</w:t>
      </w:r>
      <w:r>
        <w:rPr>
          <w:rFonts w:ascii="宋体" w:hAnsi="宋体" w:eastAsia="宋体" w:cs="宋体"/>
          <w:szCs w:val="21"/>
        </w:rPr>
        <w:t>批</w:t>
      </w:r>
      <w:r>
        <w:rPr>
          <w:rFonts w:hint="eastAsia" w:ascii="宋体" w:hAnsi="宋体" w:eastAsia="宋体" w:cs="宋体"/>
          <w:szCs w:val="21"/>
        </w:rPr>
        <w:t>采购，根据现场实际情况安装并保障调试正常，包零配件、配送、安装、售后服务等项目相关内容。</w:t>
      </w:r>
    </w:p>
    <w:p>
      <w:pPr>
        <w:pStyle w:val="28"/>
        <w:numPr>
          <w:ilvl w:val="0"/>
          <w:numId w:val="13"/>
        </w:numPr>
        <w:snapToGrid w:val="0"/>
        <w:spacing w:line="360" w:lineRule="auto"/>
        <w:ind w:firstLineChars="0"/>
        <w:rPr>
          <w:rFonts w:hint="eastAsia" w:ascii="宋体" w:hAnsi="宋体" w:eastAsia="宋体"/>
          <w:b/>
          <w:color w:val="000000"/>
          <w:szCs w:val="21"/>
        </w:rPr>
      </w:pPr>
      <w:r>
        <w:rPr>
          <w:rFonts w:hint="eastAsia" w:ascii="宋体" w:hAnsi="宋体" w:eastAsia="宋体" w:cs="Times New Roman"/>
          <w:b/>
          <w:color w:val="000000"/>
          <w:szCs w:val="21"/>
        </w:rPr>
        <w:t>报价要求</w:t>
      </w:r>
      <w:r>
        <w:rPr>
          <w:rFonts w:hint="eastAsia" w:ascii="宋体" w:hAnsi="宋体" w:eastAsia="宋体" w:cs="Times New Roman"/>
          <w:b/>
          <w:color w:val="000000"/>
          <w:szCs w:val="21"/>
        </w:rPr>
        <w:tab/>
      </w:r>
    </w:p>
    <w:p>
      <w:pPr>
        <w:tabs>
          <w:tab w:val="left" w:pos="567"/>
        </w:tabs>
        <w:adjustRightInd w:val="0"/>
        <w:snapToGrid w:val="0"/>
        <w:spacing w:line="360" w:lineRule="auto"/>
        <w:ind w:firstLine="420" w:firstLineChars="200"/>
        <w:jc w:val="left"/>
        <w:textAlignment w:val="baseline"/>
        <w:rPr>
          <w:rFonts w:hint="eastAsia" w:ascii="宋体" w:hAnsi="宋体" w:eastAsia="宋体" w:cs="宋体"/>
          <w:szCs w:val="21"/>
        </w:rPr>
      </w:pPr>
      <w:r>
        <w:rPr>
          <w:rFonts w:hint="eastAsia" w:ascii="宋体" w:hAnsi="宋体" w:eastAsia="宋体" w:cs="宋体"/>
          <w:szCs w:val="21"/>
        </w:rPr>
        <w:t>报价包含产品价格、零配件、运输、装卸、安装、售后服务、保险、搬运、税金及其他与项目相关的所有费用。</w:t>
      </w:r>
    </w:p>
    <w:p>
      <w:pPr>
        <w:pStyle w:val="28"/>
        <w:numPr>
          <w:ilvl w:val="0"/>
          <w:numId w:val="13"/>
        </w:numPr>
        <w:snapToGrid w:val="0"/>
        <w:spacing w:line="360" w:lineRule="auto"/>
        <w:ind w:firstLineChars="0"/>
        <w:rPr>
          <w:rFonts w:hint="eastAsia" w:ascii="宋体" w:hAnsi="宋体" w:eastAsia="宋体"/>
          <w:b/>
          <w:color w:val="000000"/>
          <w:szCs w:val="21"/>
        </w:rPr>
      </w:pPr>
      <w:r>
        <w:rPr>
          <w:rFonts w:hint="eastAsia" w:ascii="宋体" w:hAnsi="宋体" w:eastAsia="宋体" w:cs="Times New Roman"/>
          <w:b/>
          <w:color w:val="000000"/>
          <w:szCs w:val="21"/>
        </w:rPr>
        <w:t>采购</w:t>
      </w:r>
      <w:r>
        <w:rPr>
          <w:rFonts w:hint="eastAsia" w:ascii="宋体" w:hAnsi="宋体" w:eastAsia="宋体"/>
          <w:b/>
          <w:bCs/>
        </w:rPr>
        <w:t>清单</w:t>
      </w:r>
    </w:p>
    <w:tbl>
      <w:tblPr>
        <w:tblStyle w:val="24"/>
        <w:tblW w:w="9072" w:type="dxa"/>
        <w:jc w:val="center"/>
        <w:tblInd w:w="0" w:type="dxa"/>
        <w:tblLayout w:type="fixed"/>
        <w:tblCellMar>
          <w:top w:w="0" w:type="dxa"/>
          <w:left w:w="108" w:type="dxa"/>
          <w:bottom w:w="0" w:type="dxa"/>
          <w:right w:w="108" w:type="dxa"/>
        </w:tblCellMar>
      </w:tblPr>
      <w:tblGrid>
        <w:gridCol w:w="566"/>
        <w:gridCol w:w="833"/>
        <w:gridCol w:w="3705"/>
        <w:gridCol w:w="709"/>
        <w:gridCol w:w="708"/>
        <w:gridCol w:w="1276"/>
        <w:gridCol w:w="1275"/>
      </w:tblGrid>
      <w:tr>
        <w:tblPrEx>
          <w:tblLayout w:type="fixed"/>
          <w:tblCellMar>
            <w:top w:w="0" w:type="dxa"/>
            <w:left w:w="108" w:type="dxa"/>
            <w:bottom w:w="0" w:type="dxa"/>
            <w:right w:w="108" w:type="dxa"/>
          </w:tblCellMar>
        </w:tblPrEx>
        <w:trPr>
          <w:trHeight w:val="539" w:hRule="atLeast"/>
          <w:tblHeader/>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序号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产品名称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单价最高限价（元）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小计（元）</w:t>
            </w:r>
          </w:p>
        </w:tc>
      </w:tr>
      <w:tr>
        <w:tblPrEx>
          <w:tblLayout w:type="fixed"/>
          <w:tblCellMar>
            <w:top w:w="0" w:type="dxa"/>
            <w:left w:w="108" w:type="dxa"/>
            <w:bottom w:w="0" w:type="dxa"/>
            <w:right w:w="108" w:type="dxa"/>
          </w:tblCellMar>
        </w:tblPrEx>
        <w:trPr>
          <w:trHeight w:val="48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一、灯光系统</w:t>
            </w:r>
          </w:p>
        </w:tc>
      </w:tr>
      <w:tr>
        <w:tblPrEx>
          <w:tblLayout w:type="fixed"/>
          <w:tblCellMar>
            <w:top w:w="0" w:type="dxa"/>
            <w:left w:w="108" w:type="dxa"/>
            <w:bottom w:w="0" w:type="dxa"/>
            <w:right w:w="108" w:type="dxa"/>
          </w:tblCellMar>
        </w:tblPrEx>
        <w:trPr>
          <w:trHeight w:val="314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LED影视平板灯</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1.输入电压：AC110-240V，50-60HZ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2.额定功率：≥150W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3.色温：3200K/5600K可选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4.调光：0-100%无极调光，平滑无闪烁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5.显色指数：Ra≥97</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6.光通量：≥9700 lm</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7.控制方式：①DMX512信号控制调光;②主机模式调光;③中控调光;④2.4G无线调光;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8.透光率：≥90%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9.透光镜莫氏硬度：≥8H</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10.散热：静音风扇，自然散热 ,压铸铝型材黑色外壳；</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温控保护：灯体温控保护；</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2116.00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21160.00 </w:t>
            </w:r>
          </w:p>
        </w:tc>
      </w:tr>
      <w:tr>
        <w:tblPrEx>
          <w:tblLayout w:type="fixed"/>
          <w:tblCellMar>
            <w:top w:w="0" w:type="dxa"/>
            <w:left w:w="108" w:type="dxa"/>
            <w:bottom w:w="0" w:type="dxa"/>
            <w:right w:w="108" w:type="dxa"/>
          </w:tblCellMar>
        </w:tblPrEx>
        <w:trPr>
          <w:trHeight w:val="5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五色LED效果灯</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1.LED灯珠数≥60颗</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2.出光角度：15°，25°，45°高效光学透镜（出光角度可供选择）</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3.额定功率≥185W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4.色温：3200K-7800k</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5.控制方式：单机、主/从、声控、DMX512，自走效果、自动淡入淡出效果</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6.光源功率：超亮度LED，60颗×3W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7.混色效果：均匀的RGBWA无极混色系统，每种颜色能单独控制，演绎出多种效果</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8.内置功能：内置10种以上灯光效果程序，可脱控制器同步运行。</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9.频闪：≥25次/秒频闪，脉冲频闪，随机频闪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10.调光：频闪/调光：0-100%线性调光；电子线性调光、采用静态恒流驱动方式无闪烁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11.控制协议：国际标准DMX512控制协议</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12.控制通道：≥8个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13.控制模式：具备DMX模式、随机模式、自走模式、声控模式，可自由选择</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14.支持CIPT协议，无线控灯、移动设备远程控制，内置灯库编辑软件；内置Visualiser线条式灯光可视化软件，可以预编程、MIDI时间码声光同步功能的灯控台控制使用</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15.透光率：≥90%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16.透光镜莫氏硬度：≥8H</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17.灯具线材：电源线和信号线材，符合国家标准。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18.机身结构：高韧度高强度铝质+铁质架构、灯体黑色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1116.00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25668.00 </w:t>
            </w:r>
          </w:p>
        </w:tc>
      </w:tr>
      <w:tr>
        <w:tblPrEx>
          <w:tblLayout w:type="fixed"/>
          <w:tblCellMar>
            <w:top w:w="0" w:type="dxa"/>
            <w:left w:w="108" w:type="dxa"/>
            <w:bottom w:w="0" w:type="dxa"/>
            <w:right w:w="108" w:type="dxa"/>
          </w:tblCellMar>
        </w:tblPrEx>
        <w:trPr>
          <w:trHeight w:val="126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追光灯</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支持电压:AC100V~240V 50Hz/60Hz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耗电功率:380W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灯泡规格:330Wled 灯珠</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颜 色:一个彩色转轮6颜色+白光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控制信号:自配信号 旋钮控制</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控制模式:单机模式</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光学系统: 330Wled 灯珠</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光圈效果:光圈大小可调</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频 闪:1-7次/秒频闪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色温校正:正常5600k,调高6000K,调低3200K</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外 壳:铝合金包边</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换色、光圈大小、频闪等功能可用按键控制。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2166.00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4332.00 </w:t>
            </w:r>
          </w:p>
        </w:tc>
      </w:tr>
      <w:tr>
        <w:tblPrEx>
          <w:tblLayout w:type="fixed"/>
          <w:tblCellMar>
            <w:top w:w="0" w:type="dxa"/>
            <w:left w:w="108" w:type="dxa"/>
            <w:bottom w:w="0" w:type="dxa"/>
            <w:right w:w="108" w:type="dxa"/>
          </w:tblCellMar>
        </w:tblPrEx>
        <w:trPr>
          <w:trHeight w:val="1204"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1024控台</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 通道数：1024</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电脑灯的配接数量：96</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电脑灯重新配接地址码：支持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灯具水平垂直交换：支持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灯具通道反倒输出：支持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灯具通道滑步模式切换：支持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每台电脑灯最多可用控制通道：40主通道+40微调通道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灯库：支持珍珠R20灯库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可保存的场景数量：60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可同时运行的场景数量：10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多步场景的总步数：600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场景的时间控制：淡入、淡出、LTP滑步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每个场景可存储图形数量：5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推杆启动场景并进行调光：支持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互锁场景：支持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点控场景：支持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图形生成器：可生成Dimmer, P/T, RGB, CMY, Color, Gobo, Iris, Focus图形</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可同时运行图形数量：5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主控推杆：全局、重演、灯具</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立即黑场：支持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转盘调整通道数值：支持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推杆调整通道数值：支持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推杆调光：支持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U盘读取：支持FAT32格式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2216.00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2216.00 </w:t>
            </w:r>
          </w:p>
        </w:tc>
      </w:tr>
      <w:tr>
        <w:tblPrEx>
          <w:tblLayout w:type="fixed"/>
          <w:tblCellMar>
            <w:top w:w="0" w:type="dxa"/>
            <w:left w:w="108" w:type="dxa"/>
            <w:bottom w:w="0" w:type="dxa"/>
            <w:right w:w="108" w:type="dxa"/>
          </w:tblCellMar>
        </w:tblPrEx>
        <w:trPr>
          <w:trHeight w:val="92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信号隔离放大器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1.DMX数字信号光电藕合隔离1进6出</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2.8位独立放大的DMX信号输出</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3.有效提高DMX信号传送能力</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4.有效提高DMX信号抗干扰能力</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5.DMX信号光电隔离</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6.防止市电高压串入调光台</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7.防止雷击高压串入调光台</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8.可以直接安装到标准机柜上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1437.00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1437.00 </w:t>
            </w:r>
          </w:p>
        </w:tc>
      </w:tr>
      <w:tr>
        <w:tblPrEx>
          <w:tblLayout w:type="fixed"/>
          <w:tblCellMar>
            <w:top w:w="0" w:type="dxa"/>
            <w:left w:w="108" w:type="dxa"/>
            <w:bottom w:w="0" w:type="dxa"/>
            <w:right w:w="108" w:type="dxa"/>
          </w:tblCellMar>
        </w:tblPrEx>
        <w:trPr>
          <w:trHeight w:val="84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电源直通箱</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供电：三相五线制AC380V±10％，频率50Hz±5％.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额定功率：12路×4KW；可适用于任何负载.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过载与短路双重保护高分断空气开关.</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A.B.C三相工作指示灯. 设两脚和三脚万能用插座方便使用，进口接线端输入，单40A胶木插输出。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1694.00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1694.00 </w:t>
            </w:r>
          </w:p>
        </w:tc>
      </w:tr>
      <w:tr>
        <w:tblPrEx>
          <w:tblLayout w:type="fixed"/>
          <w:tblCellMar>
            <w:top w:w="0" w:type="dxa"/>
            <w:left w:w="108" w:type="dxa"/>
            <w:bottom w:w="0" w:type="dxa"/>
            <w:right w:w="108" w:type="dxa"/>
          </w:tblCellMar>
        </w:tblPrEx>
        <w:trPr>
          <w:trHeight w:val="48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二、舞台机械</w:t>
            </w:r>
          </w:p>
        </w:tc>
      </w:tr>
      <w:tr>
        <w:tblPrEx>
          <w:tblLayout w:type="fixed"/>
          <w:tblCellMar>
            <w:top w:w="0" w:type="dxa"/>
            <w:left w:w="108" w:type="dxa"/>
            <w:bottom w:w="0" w:type="dxa"/>
            <w:right w:w="108" w:type="dxa"/>
          </w:tblCellMar>
        </w:tblPrEx>
        <w:trPr>
          <w:trHeight w:val="244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电动对开大幕系统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最大牵引：500N</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运行速度：0.01-1.0m/s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噪    音：≤50db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电机功率：1100W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电源：AC380/50Hz                                                                                                                                         L40×4 架结构轨道                                                                                                                                        含滑轮、跑车、挂钩、限位等                                                                                                                            轨道固定吊挂在电动幕布吊杆下方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道</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17986.00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17986.00 </w:t>
            </w:r>
          </w:p>
        </w:tc>
      </w:tr>
      <w:tr>
        <w:tblPrEx>
          <w:tblLayout w:type="fixed"/>
          <w:tblCellMar>
            <w:top w:w="0" w:type="dxa"/>
            <w:left w:w="108" w:type="dxa"/>
            <w:bottom w:w="0" w:type="dxa"/>
            <w:right w:w="108" w:type="dxa"/>
          </w:tblCellMar>
        </w:tblPrEx>
        <w:trPr>
          <w:trHeight w:val="144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前檐幕</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材质：金丝绒                                                                                                                                           颜色：玫红色                                                                                                                                                          尺寸：宽18米，高2米，</w:t>
            </w:r>
            <w:bookmarkStart w:id="2" w:name="_Hlk181183769"/>
            <w:r>
              <w:rPr>
                <w:rFonts w:hint="eastAsia" w:ascii="宋体" w:hAnsi="宋体" w:eastAsia="宋体" w:cs="仿宋"/>
                <w:kern w:val="0"/>
                <w:szCs w:val="21"/>
                <w:lang w:bidi="ar"/>
              </w:rPr>
              <w:t>褶比3:1</w:t>
            </w:r>
            <w:r>
              <w:rPr>
                <w:rFonts w:hint="eastAsia" w:ascii="宋体" w:hAnsi="宋体" w:eastAsia="宋体" w:cs="仿宋"/>
                <w:color w:val="000000"/>
                <w:kern w:val="0"/>
                <w:szCs w:val="21"/>
                <w:lang w:bidi="ar"/>
              </w:rPr>
              <w:t>（1幅）</w:t>
            </w:r>
            <w:bookmarkEnd w:id="2"/>
            <w:r>
              <w:rPr>
                <w:rFonts w:hint="eastAsia" w:ascii="宋体" w:hAnsi="宋体" w:eastAsia="宋体" w:cs="仿宋"/>
                <w:color w:val="000000"/>
                <w:kern w:val="0"/>
                <w:szCs w:val="21"/>
                <w:lang w:bidi="ar"/>
              </w:rPr>
              <w:t xml:space="preserve">                                                                                                                               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衬里和面料同材质同颜色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5713.20 </w:t>
            </w:r>
          </w:p>
        </w:tc>
      </w:tr>
      <w:tr>
        <w:tblPrEx>
          <w:tblLayout w:type="fixed"/>
          <w:tblCellMar>
            <w:top w:w="0" w:type="dxa"/>
            <w:left w:w="108" w:type="dxa"/>
            <w:bottom w:w="0" w:type="dxa"/>
            <w:right w:w="108" w:type="dxa"/>
          </w:tblCellMar>
        </w:tblPrEx>
        <w:trPr>
          <w:trHeight w:val="144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大幕</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材质：金丝绒                                                                                                                                           颜色：玫红色                                                                                                                                                          尺寸：宽10米，高7.85米，</w:t>
            </w:r>
            <w:r>
              <w:rPr>
                <w:rFonts w:hint="eastAsia" w:ascii="宋体" w:hAnsi="宋体" w:eastAsia="宋体" w:cs="仿宋"/>
                <w:kern w:val="0"/>
                <w:szCs w:val="21"/>
                <w:lang w:bidi="ar"/>
              </w:rPr>
              <w:t>褶比3:1</w:t>
            </w:r>
            <w:r>
              <w:rPr>
                <w:rFonts w:hint="eastAsia" w:ascii="宋体" w:hAnsi="宋体" w:eastAsia="宋体" w:cs="仿宋"/>
                <w:color w:val="000000"/>
                <w:kern w:val="0"/>
                <w:szCs w:val="21"/>
                <w:lang w:bidi="ar"/>
              </w:rPr>
              <w:t>（2幅）                                                                                                                                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衬里和面料同材质同颜色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471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24915.90 </w:t>
            </w:r>
          </w:p>
        </w:tc>
      </w:tr>
      <w:tr>
        <w:tblPrEx>
          <w:tblLayout w:type="fixed"/>
          <w:tblCellMar>
            <w:top w:w="0" w:type="dxa"/>
            <w:left w:w="108" w:type="dxa"/>
            <w:bottom w:w="0" w:type="dxa"/>
            <w:right w:w="108" w:type="dxa"/>
          </w:tblCellMar>
        </w:tblPrEx>
        <w:trPr>
          <w:cantSplit/>
          <w:trHeight w:val="1304"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bookmarkStart w:id="3" w:name="_Hlk181183681"/>
            <w:r>
              <w:rPr>
                <w:rFonts w:hint="eastAsia" w:ascii="宋体" w:hAnsi="宋体" w:eastAsia="宋体" w:cs="仿宋"/>
                <w:color w:val="000000"/>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横条幕</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材质：金丝绒</w:t>
            </w:r>
          </w:p>
          <w:p>
            <w:r>
              <w:rPr>
                <w:rFonts w:hint="eastAsia"/>
              </w:rPr>
              <w:t>颜色：墨绿色</w:t>
            </w:r>
          </w:p>
          <w:p>
            <w:pPr>
              <w:rPr>
                <w:rFonts w:hint="eastAsia" w:asciiTheme="minorEastAsia" w:hAnsiTheme="minorEastAsia"/>
              </w:rPr>
            </w:pPr>
            <w:r>
              <w:rPr>
                <w:rFonts w:hint="eastAsia"/>
              </w:rPr>
              <w:t>尺寸：</w:t>
            </w:r>
            <w:r>
              <w:rPr>
                <w:rFonts w:hint="eastAsia" w:asciiTheme="minorEastAsia" w:hAnsiTheme="minorEastAsia"/>
              </w:rPr>
              <w:t>宽</w:t>
            </w:r>
            <w:r>
              <w:rPr>
                <w:rFonts w:asciiTheme="minorEastAsia" w:hAnsiTheme="minorEastAsia"/>
              </w:rPr>
              <w:t>18</w:t>
            </w:r>
            <w:r>
              <w:rPr>
                <w:rFonts w:hint="eastAsia" w:asciiTheme="minorEastAsia" w:hAnsiTheme="minorEastAsia"/>
              </w:rPr>
              <w:t>米，高</w:t>
            </w:r>
            <w:r>
              <w:rPr>
                <w:rFonts w:asciiTheme="minorEastAsia" w:hAnsiTheme="minorEastAsia"/>
              </w:rPr>
              <w:t>2</w:t>
            </w:r>
            <w:r>
              <w:rPr>
                <w:rFonts w:hint="eastAsia" w:asciiTheme="minorEastAsia" w:hAnsiTheme="minorEastAsia"/>
              </w:rPr>
              <w:t>米，褶比</w:t>
            </w:r>
            <w:r>
              <w:rPr>
                <w:rFonts w:asciiTheme="minorEastAsia" w:hAnsiTheme="minorEastAsia"/>
              </w:rPr>
              <w:t>3:1</w:t>
            </w:r>
            <w:r>
              <w:rPr>
                <w:rFonts w:hint="eastAsia" w:asciiTheme="minorEastAsia" w:hAnsiTheme="minorEastAsia"/>
              </w:rPr>
              <w:t>（</w:t>
            </w:r>
            <w:r>
              <w:rPr>
                <w:rFonts w:asciiTheme="minorEastAsia" w:hAnsiTheme="minorEastAsia"/>
              </w:rPr>
              <w:t>1</w:t>
            </w:r>
            <w:r>
              <w:rPr>
                <w:rFonts w:hint="eastAsia" w:asciiTheme="minorEastAsia" w:hAnsiTheme="minorEastAsia"/>
              </w:rPr>
              <w:t>幅）</w:t>
            </w:r>
          </w:p>
          <w:p>
            <w:pPr>
              <w:rPr>
                <w:rFonts w:hint="eastAsia" w:ascii="宋体" w:hAnsi="宋体" w:eastAsia="宋体" w:cs="仿宋"/>
                <w:color w:val="000000"/>
                <w:kern w:val="0"/>
                <w:szCs w:val="21"/>
                <w:lang w:bidi="ar"/>
              </w:rPr>
            </w:pPr>
            <w:r>
              <w:rPr>
                <w:rFonts w:hint="eastAsia" w:asciiTheme="minorEastAsia" w:hAnsiTheme="minorEastAsia"/>
              </w:rPr>
              <w:t>其他：</w:t>
            </w:r>
            <w:r>
              <w:rPr>
                <w:rFonts w:hint="eastAsia" w:ascii="宋体" w:hAnsi="宋体" w:eastAsia="宋体" w:cs="仿宋"/>
                <w:color w:val="000000"/>
                <w:kern w:val="0"/>
                <w:szCs w:val="21"/>
                <w:lang w:bidi="ar"/>
              </w:rPr>
              <w:t>满足国家消防装备质量B1级阻燃要求</w:t>
            </w:r>
          </w:p>
          <w:p>
            <w:r>
              <w:rPr>
                <w:rFonts w:hint="eastAsia" w:ascii="宋体" w:hAnsi="宋体" w:eastAsia="宋体" w:cs="仿宋"/>
                <w:color w:val="000000"/>
                <w:kern w:val="0"/>
                <w:szCs w:val="21"/>
                <w:lang w:bidi="ar"/>
              </w:rPr>
              <w:t>衬里和面料同材质同颜色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5713.20 </w:t>
            </w:r>
          </w:p>
        </w:tc>
      </w:tr>
      <w:bookmarkEnd w:id="3"/>
      <w:tr>
        <w:tblPrEx>
          <w:tblLayout w:type="fixed"/>
          <w:tblCellMar>
            <w:top w:w="0" w:type="dxa"/>
            <w:left w:w="108" w:type="dxa"/>
            <w:bottom w:w="0" w:type="dxa"/>
            <w:right w:w="108" w:type="dxa"/>
          </w:tblCellMar>
        </w:tblPrEx>
        <w:trPr>
          <w:trHeight w:val="144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侧条幕</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材质：天鹅绒</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颜色：墨绿色</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尺寸：宽2米，高7.85米，褶比3:1（2片）</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衬里和面料同材质同颜色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4983.18 </w:t>
            </w:r>
          </w:p>
        </w:tc>
      </w:tr>
      <w:tr>
        <w:tblPrEx>
          <w:tblLayout w:type="fixed"/>
          <w:tblCellMar>
            <w:top w:w="0" w:type="dxa"/>
            <w:left w:w="108" w:type="dxa"/>
            <w:bottom w:w="0" w:type="dxa"/>
            <w:right w:w="108" w:type="dxa"/>
          </w:tblCellMar>
        </w:tblPrEx>
        <w:trPr>
          <w:trHeight w:val="41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幕布杆体</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1）吊杆长度：约17m，2道，主管直径48mm*壁厚2.75mm，表面哑光黑色烤漆。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2）圆管采用无缝防偏结构组件螺纹紧固连接；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3）双管上下连接使用标准平衡抱箍连接，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4）8.8 级螺栓组件固定；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124.80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4243.20 </w:t>
            </w:r>
          </w:p>
        </w:tc>
      </w:tr>
      <w:tr>
        <w:tblPrEx>
          <w:tblLayout w:type="fixed"/>
          <w:tblCellMar>
            <w:top w:w="0" w:type="dxa"/>
            <w:left w:w="108" w:type="dxa"/>
            <w:bottom w:w="0" w:type="dxa"/>
            <w:right w:w="108" w:type="dxa"/>
          </w:tblCellMar>
        </w:tblPrEx>
        <w:trPr>
          <w:trHeight w:val="168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灯光吊杆杆体</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1）吊杆长度：约17m，3道，主管直径48mm*壁厚2.75mm，表面哑光黑色烤漆。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2）圆管采用无缝防偏结构组件螺纹紧固连接；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3）双管上下连接使用标准平衡抱箍连接，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4）8.8 级螺栓组件固定；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124.80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6364.80 </w:t>
            </w:r>
          </w:p>
        </w:tc>
      </w:tr>
      <w:tr>
        <w:tblPrEx>
          <w:tblLayout w:type="fixed"/>
          <w:tblCellMar>
            <w:top w:w="0" w:type="dxa"/>
            <w:left w:w="108" w:type="dxa"/>
            <w:bottom w:w="0" w:type="dxa"/>
            <w:right w:w="108" w:type="dxa"/>
          </w:tblCellMar>
        </w:tblPrEx>
        <w:trPr>
          <w:trHeight w:val="72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舞台机械控制系统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模拟点控，控制电动幕布对开，含电源指示，相序保护装置所有吊杆能实行软启动软制动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2316.00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2316.00 </w:t>
            </w:r>
          </w:p>
        </w:tc>
      </w:tr>
      <w:tr>
        <w:tblPrEx>
          <w:tblLayout w:type="fixed"/>
          <w:tblCellMar>
            <w:top w:w="0" w:type="dxa"/>
            <w:left w:w="108" w:type="dxa"/>
            <w:bottom w:w="0" w:type="dxa"/>
            <w:right w:w="108" w:type="dxa"/>
          </w:tblCellMar>
        </w:tblPrEx>
        <w:trPr>
          <w:trHeight w:val="63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舞台桁架</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注：</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栅顶各梁主梁主方管为40mm*80mm*厚度3mm；</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次管为40mm*80mm*厚度3mm；</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柱子主方管为40mm*80mm*厚度3mm；次管为40mm*80mm*厚度3mm；</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地面安装不小于400mm*400mm*5mm铁板，14#化学锚铨，材质为全铁，表面哑光黑色/银色烤漆，桁架总宽度为18m，深度为6m，高度为7.6m，6根立柱，3条横梁，2条纵梁，5条支撑方管。</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1.柱子与柱子之间梁中间提高到20-30公分，现场条件允许下可以上面用钢丝绳望下垂钓；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2.柱子下面用铁板固定，现场条件允许下可以打八字脚</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107916.00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107916.00 </w:t>
            </w:r>
          </w:p>
        </w:tc>
      </w:tr>
      <w:tr>
        <w:tblPrEx>
          <w:tblLayout w:type="fixed"/>
          <w:tblCellMar>
            <w:top w:w="0" w:type="dxa"/>
            <w:left w:w="108" w:type="dxa"/>
            <w:bottom w:w="0" w:type="dxa"/>
            <w:right w:w="108" w:type="dxa"/>
          </w:tblCellMar>
        </w:tblPrEx>
        <w:trPr>
          <w:trHeight w:val="48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三</w:t>
            </w:r>
            <w:r>
              <w:rPr>
                <w:rFonts w:hint="eastAsia" w:ascii="宋体" w:hAnsi="宋体" w:eastAsia="宋体" w:cs="仿宋"/>
                <w:b/>
                <w:bCs/>
                <w:color w:val="000000"/>
                <w:szCs w:val="21"/>
              </w:rPr>
              <w:t>、舞台设备</w:t>
            </w:r>
          </w:p>
        </w:tc>
      </w:tr>
      <w:tr>
        <w:tblPrEx>
          <w:tblLayout w:type="fixed"/>
          <w:tblCellMar>
            <w:top w:w="0" w:type="dxa"/>
            <w:left w:w="108" w:type="dxa"/>
            <w:bottom w:w="0" w:type="dxa"/>
            <w:right w:w="108" w:type="dxa"/>
          </w:tblCellMar>
        </w:tblPrEx>
        <w:trPr>
          <w:trHeight w:val="1771"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数字反馈抑制处理器</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1.采用先进的DSP芯片，内置高级防啸叫及尾音处理算法，无尾音失真，声音干净利落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2.话筒增益可提升8-12dB，拾音距离增加50-100cm</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3.可以识别音箱的声音，可以把音箱返回话筒的声音完全过滤掉而把人说话的声音通过</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4.使用高性能的浮点DSP 实现了反馈抑制、噪声抑制、自动音量调节和频率均衡控制等功能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5.采用LCD液晶显示屏，操作简单，48V开关，自动混音，旁路功能可调</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2325.00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4650.00 </w:t>
            </w:r>
          </w:p>
        </w:tc>
      </w:tr>
      <w:tr>
        <w:tblPrEx>
          <w:tblLayout w:type="fixed"/>
          <w:tblCellMar>
            <w:top w:w="0" w:type="dxa"/>
            <w:left w:w="108" w:type="dxa"/>
            <w:bottom w:w="0" w:type="dxa"/>
            <w:right w:w="108" w:type="dxa"/>
          </w:tblCellMar>
        </w:tblPrEx>
        <w:trPr>
          <w:trHeight w:val="557"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特高频天线分配系统</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1.频率响应：470-900MHz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2.分配端口增益：10dB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3.级连端口增益：8dB                                                                                                                               4.阻抗：50ohms                                                                                                                                  5.驻波比：1.5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3788.00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3788.00 </w:t>
            </w:r>
          </w:p>
        </w:tc>
      </w:tr>
      <w:tr>
        <w:tblPrEx>
          <w:tblLayout w:type="fixed"/>
          <w:tblCellMar>
            <w:top w:w="0" w:type="dxa"/>
            <w:left w:w="108" w:type="dxa"/>
            <w:bottom w:w="0" w:type="dxa"/>
            <w:right w:w="108" w:type="dxa"/>
          </w:tblCellMar>
        </w:tblPrEx>
        <w:trPr>
          <w:trHeight w:val="10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无线手持话筒</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1.采用最新的红外自动对频技术（IR)，操作和设置更便易懂</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2.采用数字音码锁定技术，有效阻隔使用环境中的杂讯和干扰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3.双通道UHF无线系统，每通道100个频率可选，频率范围610MHz-670MHz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4.全金属外壳设计，耐用性电镀管体结构，坚固、抗摔、耐磨，单元可以互换使用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5.信道数目: 200个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6.动态范围: &gt;110dB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7.音频响应: 60HZ-18KHZ(±3dB)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8.综合信噪比: &gt;105dB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1312.50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5250.00 </w:t>
            </w:r>
          </w:p>
        </w:tc>
      </w:tr>
      <w:tr>
        <w:tblPrEx>
          <w:tblLayout w:type="fixed"/>
          <w:tblCellMar>
            <w:top w:w="0" w:type="dxa"/>
            <w:left w:w="108" w:type="dxa"/>
            <w:bottom w:w="0" w:type="dxa"/>
            <w:right w:w="108" w:type="dxa"/>
          </w:tblCellMar>
        </w:tblPrEx>
        <w:trPr>
          <w:trHeight w:val="1346"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无线头戴话筒</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1.采用最新的红外自动对频技术（IR)，操作和设置更便易懂</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2.采用数字音码锁定技术，有效阻隔使用环境中的杂讯和干扰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3.双通道UHF无线系统，每通道100个频率可选，频率范围610MHz-670MHz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4.全金属外壳设计，耐用性电镀管体结构，坚固、抗摔、耐磨，单元可以互换使用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5.信道数目: 200个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6.动态范围: &gt;110dB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7.音频响应: 60HZ-18KHZ(±3dB)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8.综合信噪比: &gt;105dB</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1312.50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7875.00 </w:t>
            </w:r>
          </w:p>
        </w:tc>
      </w:tr>
      <w:tr>
        <w:tblPrEx>
          <w:tblLayout w:type="fixed"/>
          <w:tblCellMar>
            <w:top w:w="0" w:type="dxa"/>
            <w:left w:w="108" w:type="dxa"/>
            <w:bottom w:w="0" w:type="dxa"/>
            <w:right w:w="108" w:type="dxa"/>
          </w:tblCellMar>
        </w:tblPrEx>
        <w:trPr>
          <w:trHeight w:val="48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四</w:t>
            </w:r>
            <w:r>
              <w:rPr>
                <w:rFonts w:hint="eastAsia" w:ascii="宋体" w:hAnsi="宋体" w:eastAsia="宋体" w:cs="仿宋"/>
                <w:b/>
                <w:bCs/>
                <w:color w:val="000000"/>
                <w:szCs w:val="21"/>
              </w:rPr>
              <w:t>、</w:t>
            </w:r>
            <w:r>
              <w:rPr>
                <w:rFonts w:hint="eastAsia" w:ascii="宋体" w:hAnsi="宋体" w:eastAsia="宋体" w:cs="仿宋"/>
                <w:b/>
                <w:bCs/>
                <w:color w:val="000000"/>
                <w:kern w:val="0"/>
                <w:szCs w:val="21"/>
                <w:lang w:bidi="ar"/>
              </w:rPr>
              <w:t>配件辅材</w:t>
            </w:r>
          </w:p>
        </w:tc>
      </w:tr>
      <w:tr>
        <w:tblPrEx>
          <w:tblLayout w:type="fixed"/>
          <w:tblCellMar>
            <w:top w:w="0" w:type="dxa"/>
            <w:left w:w="108" w:type="dxa"/>
            <w:bottom w:w="0" w:type="dxa"/>
            <w:right w:w="108" w:type="dxa"/>
          </w:tblCellMar>
        </w:tblPrEx>
        <w:trPr>
          <w:trHeight w:val="6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专用电源电缆</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电源线 RVV 电线电缆国标纯铜环保 RVV3*2.5</w:t>
            </w:r>
            <w:r>
              <w:rPr>
                <w:rFonts w:hint="eastAsia"/>
              </w:rPr>
              <w:t>平方毫米</w:t>
            </w:r>
            <w:r>
              <w:rPr>
                <w:rFonts w:hint="eastAsia" w:ascii="宋体" w:hAnsi="宋体" w:eastAsia="宋体" w:cs="仿宋"/>
                <w:color w:val="000000"/>
                <w:kern w:val="0"/>
                <w:szCs w:val="21"/>
                <w:lang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11.30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3390.00 </w:t>
            </w:r>
          </w:p>
        </w:tc>
      </w:tr>
      <w:tr>
        <w:tblPrEx>
          <w:tblLayout w:type="fixed"/>
          <w:tblCellMar>
            <w:top w:w="0" w:type="dxa"/>
            <w:left w:w="108" w:type="dxa"/>
            <w:bottom w:w="0" w:type="dxa"/>
            <w:right w:w="108" w:type="dxa"/>
          </w:tblCellMar>
        </w:tblPrEx>
        <w:trPr>
          <w:trHeight w:val="47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灯具灯钩</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铝制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990.00 </w:t>
            </w:r>
          </w:p>
        </w:tc>
      </w:tr>
      <w:tr>
        <w:tblPrEx>
          <w:tblLayout w:type="fixed"/>
          <w:tblCellMar>
            <w:top w:w="0" w:type="dxa"/>
            <w:left w:w="108" w:type="dxa"/>
            <w:bottom w:w="0" w:type="dxa"/>
            <w:right w:w="108" w:type="dxa"/>
          </w:tblCellMar>
        </w:tblPrEx>
        <w:trPr>
          <w:trHeight w:val="545"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灯具保险链</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钢丝绳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396.00 </w:t>
            </w:r>
          </w:p>
        </w:tc>
      </w:tr>
      <w:tr>
        <w:tblPrEx>
          <w:tblLayout w:type="fixed"/>
          <w:tblCellMar>
            <w:top w:w="0" w:type="dxa"/>
            <w:left w:w="108" w:type="dxa"/>
            <w:bottom w:w="0" w:type="dxa"/>
            <w:right w:w="108" w:type="dxa"/>
          </w:tblCellMar>
        </w:tblPrEx>
        <w:trPr>
          <w:trHeight w:val="575"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电缆接插件</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16.95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762.75 </w:t>
            </w:r>
          </w:p>
        </w:tc>
      </w:tr>
      <w:tr>
        <w:tblPrEx>
          <w:tblLayout w:type="fixed"/>
          <w:tblCellMar>
            <w:top w:w="0" w:type="dxa"/>
            <w:left w:w="108" w:type="dxa"/>
            <w:bottom w:w="0" w:type="dxa"/>
            <w:right w:w="108" w:type="dxa"/>
          </w:tblCellMar>
        </w:tblPrEx>
        <w:trPr>
          <w:trHeight w:val="6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DMX512信号线</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DMX512信号传输，2*0.5平方毫米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1000.00 </w:t>
            </w:r>
          </w:p>
        </w:tc>
      </w:tr>
      <w:tr>
        <w:tblPrEx>
          <w:tblLayout w:type="fixed"/>
          <w:tblCellMar>
            <w:top w:w="0" w:type="dxa"/>
            <w:left w:w="108" w:type="dxa"/>
            <w:bottom w:w="0" w:type="dxa"/>
            <w:right w:w="108" w:type="dxa"/>
          </w:tblCellMar>
        </w:tblPrEx>
        <w:trPr>
          <w:trHeight w:val="6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卡侬接头</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信号接头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16.95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762.75 </w:t>
            </w:r>
          </w:p>
        </w:tc>
      </w:tr>
      <w:tr>
        <w:tblPrEx>
          <w:tblLayout w:type="fixed"/>
          <w:tblCellMar>
            <w:top w:w="0" w:type="dxa"/>
            <w:left w:w="108" w:type="dxa"/>
            <w:bottom w:w="0" w:type="dxa"/>
            <w:right w:w="108" w:type="dxa"/>
          </w:tblCellMar>
        </w:tblPrEx>
        <w:trPr>
          <w:trHeight w:val="66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灯具跳线</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灯具信号跳线、电源跳线</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600.00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600.00 </w:t>
            </w:r>
          </w:p>
        </w:tc>
      </w:tr>
      <w:tr>
        <w:tblPrEx>
          <w:tblLayout w:type="fixed"/>
          <w:tblCellMar>
            <w:top w:w="0" w:type="dxa"/>
            <w:left w:w="108" w:type="dxa"/>
            <w:bottom w:w="0" w:type="dxa"/>
            <w:right w:w="108" w:type="dxa"/>
          </w:tblCellMar>
        </w:tblPrEx>
        <w:trPr>
          <w:trHeight w:val="47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音频跳线</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音频跳线</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800.00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800.00 </w:t>
            </w:r>
          </w:p>
        </w:tc>
      </w:tr>
      <w:tr>
        <w:tblPrEx>
          <w:tblLayout w:type="fixed"/>
          <w:tblCellMar>
            <w:top w:w="0" w:type="dxa"/>
            <w:left w:w="108" w:type="dxa"/>
            <w:bottom w:w="0" w:type="dxa"/>
            <w:right w:w="108" w:type="dxa"/>
          </w:tblCellMar>
        </w:tblPrEx>
        <w:trPr>
          <w:trHeight w:val="500" w:hRule="atLeast"/>
          <w:jc w:val="center"/>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音频接头</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音频接头</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300.00 </w:t>
            </w:r>
          </w:p>
        </w:tc>
      </w:tr>
      <w:tr>
        <w:tblPrEx>
          <w:tblLayout w:type="fixed"/>
          <w:tblCellMar>
            <w:top w:w="0" w:type="dxa"/>
            <w:left w:w="108" w:type="dxa"/>
            <w:bottom w:w="0" w:type="dxa"/>
            <w:right w:w="108" w:type="dxa"/>
          </w:tblCellMar>
        </w:tblPrEx>
        <w:trPr>
          <w:trHeight w:val="560" w:hRule="atLeast"/>
          <w:jc w:val="center"/>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总价</w:t>
            </w:r>
            <w:r>
              <w:rPr>
                <w:rFonts w:hint="eastAsia" w:ascii="宋体" w:hAnsi="宋体" w:eastAsia="宋体" w:cs="仿宋"/>
                <w:b/>
                <w:bCs/>
                <w:color w:val="000000"/>
                <w:szCs w:val="21"/>
              </w:rPr>
              <w:t>：人民币267222.98</w:t>
            </w:r>
            <w:r>
              <w:rPr>
                <w:rFonts w:hint="eastAsia" w:ascii="宋体" w:hAnsi="宋体" w:eastAsia="宋体" w:cs="仿宋"/>
                <w:b/>
                <w:bCs/>
                <w:color w:val="000000"/>
                <w:kern w:val="0"/>
                <w:szCs w:val="21"/>
                <w:lang w:bidi="ar"/>
              </w:rPr>
              <w:t>元</w:t>
            </w:r>
          </w:p>
        </w:tc>
      </w:tr>
    </w:tbl>
    <w:p>
      <w:pPr>
        <w:pStyle w:val="28"/>
        <w:numPr>
          <w:ilvl w:val="0"/>
          <w:numId w:val="13"/>
        </w:numPr>
        <w:snapToGrid w:val="0"/>
        <w:spacing w:line="360" w:lineRule="auto"/>
        <w:ind w:firstLineChars="0"/>
        <w:rPr>
          <w:rFonts w:hint="eastAsia" w:ascii="宋体" w:hAnsi="宋体" w:eastAsia="宋体"/>
          <w:b/>
          <w:color w:val="000000"/>
          <w:szCs w:val="21"/>
        </w:rPr>
      </w:pPr>
      <w:r>
        <w:rPr>
          <w:rFonts w:hint="eastAsia" w:ascii="宋体" w:hAnsi="宋体" w:eastAsia="宋体" w:cs="Times New Roman"/>
          <w:b/>
          <w:color w:val="000000"/>
          <w:szCs w:val="21"/>
        </w:rPr>
        <w:t>现场勘察</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（一）本项目组织现场勘察（自愿原则）。</w:t>
      </w:r>
    </w:p>
    <w:p>
      <w:pPr>
        <w:spacing w:line="360" w:lineRule="auto"/>
        <w:ind w:firstLine="420" w:firstLineChars="200"/>
        <w:rPr>
          <w:rFonts w:hint="eastAsia" w:ascii="宋体" w:hAnsi="宋体" w:eastAsia="宋体"/>
          <w:b/>
          <w:color w:val="000000"/>
        </w:rPr>
      </w:pPr>
      <w:r>
        <w:rPr>
          <w:rFonts w:hint="eastAsia" w:ascii="宋体" w:hAnsi="宋体" w:eastAsia="宋体"/>
        </w:rPr>
        <w:t>勘察时间：北京时间2024年</w:t>
      </w:r>
      <w:r>
        <w:rPr>
          <w:rFonts w:hint="eastAsia" w:ascii="宋体" w:hAnsi="宋体" w:eastAsia="宋体"/>
          <w:highlight w:val="yellow"/>
          <w:u w:val="single"/>
        </w:rPr>
        <w:t xml:space="preserve">11 </w:t>
      </w:r>
      <w:r>
        <w:rPr>
          <w:rFonts w:hint="eastAsia" w:ascii="宋体" w:hAnsi="宋体" w:eastAsia="宋体"/>
          <w:highlight w:val="yellow"/>
        </w:rPr>
        <w:t>月</w:t>
      </w:r>
      <w:r>
        <w:rPr>
          <w:rFonts w:hint="eastAsia" w:ascii="宋体" w:hAnsi="宋体" w:eastAsia="宋体"/>
          <w:highlight w:val="yellow"/>
          <w:u w:val="single"/>
        </w:rPr>
        <w:t xml:space="preserve">   </w:t>
      </w:r>
      <w:r>
        <w:rPr>
          <w:rFonts w:hint="eastAsia" w:ascii="宋体" w:hAnsi="宋体" w:eastAsia="宋体"/>
          <w:highlight w:val="yellow"/>
        </w:rPr>
        <w:t>日</w:t>
      </w:r>
      <w:r>
        <w:rPr>
          <w:rFonts w:hint="eastAsia" w:ascii="宋体" w:hAnsi="宋体" w:eastAsia="宋体"/>
        </w:rPr>
        <w:t>下午14点30分，在政务办证大厅集合，统一安排进入，逾期采购人有权拒绝勘察。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（二）勘察地点：广东省从化监狱狱内文体馆。采购单位项目负责人：邓警官（联系电话：020-87897683）</w:t>
      </w:r>
    </w:p>
    <w:p>
      <w:pPr>
        <w:spacing w:line="360" w:lineRule="auto"/>
        <w:ind w:firstLine="420" w:firstLineChars="200"/>
        <w:rPr>
          <w:rFonts w:hint="eastAsia" w:ascii="宋体" w:hAnsi="宋体" w:eastAsia="宋体"/>
        </w:rPr>
      </w:pPr>
      <w:r>
        <w:rPr>
          <w:rFonts w:hint="eastAsia" w:ascii="宋体" w:hAnsi="宋体" w:eastAsia="宋体" w:cs="宋体"/>
          <w:szCs w:val="21"/>
        </w:rPr>
        <w:t>（三）请参与现场勘察的供应商经办人携带本人身份证。</w:t>
      </w:r>
    </w:p>
    <w:p>
      <w:pPr>
        <w:pStyle w:val="28"/>
        <w:numPr>
          <w:ilvl w:val="0"/>
          <w:numId w:val="13"/>
        </w:numPr>
        <w:snapToGrid w:val="0"/>
        <w:spacing w:line="360" w:lineRule="auto"/>
        <w:ind w:firstLineChars="0"/>
        <w:rPr>
          <w:rFonts w:hint="eastAsia" w:ascii="宋体" w:hAnsi="宋体" w:eastAsia="宋体"/>
          <w:b/>
          <w:color w:val="000000"/>
          <w:szCs w:val="21"/>
        </w:rPr>
      </w:pPr>
      <w:r>
        <w:rPr>
          <w:rFonts w:hint="eastAsia" w:ascii="宋体" w:hAnsi="宋体" w:eastAsia="宋体" w:cs="Times New Roman"/>
          <w:b/>
          <w:color w:val="000000"/>
          <w:szCs w:val="21"/>
        </w:rPr>
        <w:t>商务要求</w:t>
      </w:r>
    </w:p>
    <w:p>
      <w:pPr>
        <w:tabs>
          <w:tab w:val="left" w:pos="567"/>
        </w:tabs>
        <w:adjustRightInd w:val="0"/>
        <w:snapToGrid w:val="0"/>
        <w:spacing w:line="360" w:lineRule="auto"/>
        <w:ind w:firstLine="422" w:firstLineChars="200"/>
        <w:textAlignment w:val="baseline"/>
        <w:rPr>
          <w:rFonts w:hint="eastAsia" w:ascii="宋体" w:hAnsi="宋体" w:eastAsia="宋体" w:cs="宋体"/>
          <w:b/>
          <w:bCs/>
          <w:szCs w:val="21"/>
        </w:rPr>
      </w:pPr>
      <w:r>
        <w:rPr>
          <w:rFonts w:hint="eastAsia" w:ascii="宋体" w:hAnsi="宋体" w:eastAsia="宋体" w:cs="宋体"/>
          <w:b/>
          <w:bCs/>
          <w:szCs w:val="21"/>
        </w:rPr>
        <w:t>（一）实施的时间和地点</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1、交付的期限：合同签订后30个自然日完成设备安装调试并通过验收交付使用。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2、交付的地点：广东省从化监狱狱内文体馆。</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3、设备验收：</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设备验收在采购人和成交供应商双方共同参与下按国家有关的规定、规范进行；必要时邀请相关的专业人员或机构参与验收。因货物质量问题发生争议时，由本地质量技术监督部门鉴定。货物符合质量技术标准的，鉴定费由采购人承担；否则鉴定费由成交供应商承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（2）货物在现场的保管由成交供应商负责，直至项目安装、验收完毕。</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验收时如发现所交付的设备有短缺、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（4）如果合同设备运输和安装过程中因事故造成货物短缺、损坏，成交供应商应及时安排补货、换货，以保证合同设备安装的成功完成。换货的相关费用由成交供应商承担。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（5）成交供应商保证合同项下提供的货物（或设备）不侵犯任何第三方的专利、商标或版权。否则，成交供应商须承担对第三方的专利或版权的侵权责任并承担因此而发生的所有费用。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（6）交付验收标准依次序对照适用标准：</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①符合中华人民共和国国家安全质量标准、环保标准或行业标准。</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②符合响应承诺中采购人认可的合理最佳配置、参数及各项要求。</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4、设备要求：</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成交供应商应保证提供的货物（或设备）是全新、未使用过的原装合格产品，并完全符合生产厂家或国家规定的质量、规格和性能的要求。整机无污染，无侵权行为、表面无划损、无任何缺陷隐患，在中国境内安全合法使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（2）货物为原厂商未启封全新包装，具有出厂合格证，序列号、包装箱号与出厂批号一致，并可追索查阅。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（3）有关键主机设备的用户手册、保修手册、有关单证资料及配备件、随机工具等，使用操作及安全须知等重要资料应附有中文说明。</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宋体"/>
          <w:b/>
          <w:bCs/>
          <w:szCs w:val="21"/>
        </w:rPr>
        <w:t>合同的签订</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成交供应商与采购人在采购结果确认之日起15个工作日内签订合同。</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宋体"/>
          <w:b/>
          <w:bCs/>
          <w:szCs w:val="21"/>
        </w:rPr>
        <w:t>履约保证金：</w:t>
      </w:r>
    </w:p>
    <w:p>
      <w:pPr>
        <w:tabs>
          <w:tab w:val="left" w:pos="567"/>
        </w:tabs>
        <w:adjustRightInd w:val="0"/>
        <w:snapToGrid w:val="0"/>
        <w:spacing w:line="360" w:lineRule="auto"/>
        <w:ind w:firstLine="422" w:firstLineChars="200"/>
        <w:textAlignment w:val="baseline"/>
        <w:rPr>
          <w:rFonts w:hint="eastAsia" w:ascii="宋体" w:hAnsi="宋体" w:eastAsia="宋体" w:cs="宋体"/>
          <w:b/>
          <w:bCs/>
          <w:szCs w:val="21"/>
        </w:rPr>
      </w:pPr>
      <w:r>
        <w:rPr>
          <w:rFonts w:hint="eastAsia" w:ascii="宋体" w:hAnsi="宋体" w:eastAsia="宋体" w:cs="宋体"/>
          <w:b/>
          <w:bCs/>
          <w:szCs w:val="21"/>
        </w:rPr>
        <w:t>（一）提交说明</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1、时间：合同签订之日起5个工作日内；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2、金额：合同总金额的5%；</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3、方式：银行转账或支票。</w:t>
      </w:r>
    </w:p>
    <w:p>
      <w:pPr>
        <w:tabs>
          <w:tab w:val="left" w:pos="567"/>
        </w:tabs>
        <w:adjustRightInd w:val="0"/>
        <w:snapToGrid w:val="0"/>
        <w:spacing w:line="360" w:lineRule="auto"/>
        <w:ind w:firstLine="422" w:firstLineChars="200"/>
        <w:textAlignment w:val="baseline"/>
        <w:rPr>
          <w:rFonts w:hint="eastAsia" w:ascii="宋体" w:hAnsi="宋体" w:eastAsia="宋体" w:cs="宋体"/>
          <w:b/>
          <w:bCs/>
          <w:szCs w:val="21"/>
        </w:rPr>
      </w:pPr>
      <w:r>
        <w:rPr>
          <w:rFonts w:hint="eastAsia" w:ascii="宋体" w:hAnsi="宋体" w:eastAsia="宋体" w:cs="宋体"/>
          <w:b/>
          <w:bCs/>
          <w:szCs w:val="21"/>
        </w:rPr>
        <w:t>（二）退还及扣除说明：</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1、时间、方式和条件：成交供应商履行完成合同约定权利义务事项之日起15个工作日内退还。不计利息。</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2、成交供应商违反合同及其附件约定的任何义务，采购人有权在履约保证金中直接扣除成交供应商应向采购人支付的违约金或损失赔偿额，如有不足的，成交供应商应对超过的部分予以赔偿。</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（三）发生以下情形之一，经调查属实的，扣除10%履约保证金：</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1、未按要求随货提供相关票证；</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2、未按采购人指定地点送货；</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3、货物出现质量问题，成交供应商不积极配合查找原因，不及时反馈处理结果。</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（四）发生以下情形之一，经调查属实的，扣除20%履约保证金：</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1、供应货物品种、品牌、型号规格或质量等级与合同不符；</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2、发生退货或未按采购人采购计划数量、时间供应；</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3、同一品种货物连续两次验收发现质量不合格产品并退货；</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4、在包装、运输等环节不符合安全要求。</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（五）发生以下情形，经调查属实的，扣除50%履约保证金：</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成交供应商的工作人员不遵守采购人管理规定造成社会不良影响的。</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（六）成交供应商未能在约定的交付期限内交付的，从逾期之日起每日按合同总价3‰的数额向采购人支付违约金；逾期半个月以上的，采购人有权终止合同，由此造成的采购人经济损失由成交供应商承担。</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（七）如在合同执行期间因成交供应商违约导致履约保证金部分或全部扣除，成交供应商需在五个工作日内将扣除的履约保证金补齐，否则,视为成交供应商毁约，采购人有权终止合同。</w:t>
      </w:r>
    </w:p>
    <w:p>
      <w:pPr>
        <w:pStyle w:val="12"/>
        <w:tabs>
          <w:tab w:val="left" w:pos="540"/>
        </w:tabs>
        <w:adjustRightInd w:val="0"/>
        <w:snapToGrid w:val="0"/>
        <w:spacing w:line="360" w:lineRule="auto"/>
        <w:ind w:firstLine="422" w:firstLineChars="200"/>
        <w:rPr>
          <w:rFonts w:hint="eastAsia" w:hAnsi="宋体" w:cs="宋体"/>
          <w:b/>
          <w:bCs/>
          <w:kern w:val="2"/>
          <w:sz w:val="21"/>
        </w:rPr>
      </w:pPr>
      <w:r>
        <w:rPr>
          <w:rFonts w:hint="eastAsia" w:hAnsi="宋体" w:cs="宋体"/>
          <w:b/>
          <w:bCs/>
          <w:kern w:val="2"/>
          <w:sz w:val="21"/>
        </w:rPr>
        <w:t>（八）如成交供应商在合同执行过程需终止执行合同的，需提前10个自然日以书面形式告知采购人，否则按单方面终止执行合同处理，履约保证金不退还，且成交供应商需承担赔偿采购人因此造成的损失。</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宋体"/>
          <w:b/>
          <w:bCs/>
          <w:szCs w:val="21"/>
        </w:rPr>
        <w:t>包装和运输</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（一）成交供应商应提供运送至交付地点所需要的包装，包装应符合经济、牢固、美观的要求，采取防潮、防晒、防锈、防震及防止其它损坏的必要措施，以防止货物在运转中损坏或变质。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（二）运输包装应根据产品的特点及国家相关标准标注有相应的运输标志。</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（三）成交供应商负责将货物运输并卸载到采购人指定地点。</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Times New Roman"/>
          <w:b/>
          <w:color w:val="000000"/>
          <w:szCs w:val="21"/>
        </w:rPr>
        <w:t>售后服务</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（一）质保期</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1、质量保修范围：由于材料、工艺等问题而导致的产品功能失效、性能下降等缺陷(属于不可抗拒力、采购人人为因素等造成的除外)。</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color w:val="0000FF"/>
          <w:szCs w:val="21"/>
        </w:rPr>
        <w:t>2、产品质量保证期：成交供应商所提供的货物质保期按照生产厂家标准保障</w:t>
      </w:r>
      <w:r>
        <w:rPr>
          <w:rFonts w:hint="eastAsia" w:ascii="宋体" w:hAnsi="宋体" w:eastAsia="宋体" w:cs="宋体"/>
          <w:color w:val="0000FF"/>
          <w:szCs w:val="21"/>
          <w:lang w:eastAsia="zh-CN"/>
        </w:rPr>
        <w:t>（</w:t>
      </w:r>
      <w:r>
        <w:rPr>
          <w:rFonts w:hint="eastAsia" w:ascii="宋体" w:hAnsi="宋体" w:eastAsia="宋体" w:cs="宋体"/>
          <w:color w:val="0000FF"/>
          <w:szCs w:val="21"/>
          <w:lang w:val="en-US" w:eastAsia="zh-CN"/>
        </w:rPr>
        <w:t>其中：采购清单第二项舞台机械及第四项配件辅材质保期不少于1年</w:t>
      </w:r>
      <w:r>
        <w:rPr>
          <w:rFonts w:hint="eastAsia" w:ascii="宋体" w:hAnsi="宋体" w:eastAsia="宋体" w:cs="宋体"/>
          <w:color w:val="0000FF"/>
          <w:szCs w:val="21"/>
          <w:lang w:eastAsia="zh-CN"/>
        </w:rPr>
        <w:t>）</w:t>
      </w:r>
      <w:r>
        <w:rPr>
          <w:rFonts w:hint="eastAsia" w:ascii="宋体" w:hAnsi="宋体" w:eastAsia="宋体" w:cs="宋体"/>
          <w:color w:val="0000FF"/>
          <w:szCs w:val="21"/>
        </w:rPr>
        <w:t>，</w:t>
      </w:r>
      <w:r>
        <w:rPr>
          <w:rFonts w:hint="eastAsia" w:ascii="宋体" w:hAnsi="宋体" w:eastAsia="宋体" w:cs="宋体"/>
          <w:szCs w:val="21"/>
        </w:rPr>
        <w:t>应保证在质保期内按照生产厂家的服务标准向采购人提供售后服务（质保期自所有货物安装调试到位并通过最终验收合格并交付使用之日起算，质保期内实行“三包”。）、终身维护（收取工本费）。</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3、服务响应时间：对采购人的服务通知，成交供应商在接报后2小时内响应，24小时内到达现场，48小时内处理完毕。若在48小时内仍未能有效解决，成交供应商须免费提供同档次的设备予采购人临时使用。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4、质保期内，非采购人人为因素出现的产品质量等问题，由成交供应商负责包修、包换或包退，并承担由此而产生的一切费用。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5、所有货物（设备）保修服务方式均为成交供应商上门保修，即由成交供应商派员到采购人使用现场维修，由此产生的一切费用均由成交供应商负责。</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（二）安装与调试</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1、成交供应商必须依照竞价文件的要求和竞价文件的承诺，将设备、系统安装并调试至正常运行的最佳状态。</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lang w:eastAsia="zh-TW"/>
        </w:rPr>
      </w:pPr>
      <w:r>
        <w:rPr>
          <w:rFonts w:hint="eastAsia" w:ascii="宋体" w:hAnsi="宋体" w:eastAsia="宋体" w:cs="宋体"/>
          <w:szCs w:val="21"/>
        </w:rPr>
        <w:t>2、</w:t>
      </w:r>
      <w:r>
        <w:rPr>
          <w:rFonts w:hint="eastAsia" w:ascii="宋体" w:hAnsi="宋体" w:eastAsia="宋体" w:cs="宋体"/>
          <w:szCs w:val="21"/>
          <w:lang w:eastAsia="zh-TW"/>
        </w:rPr>
        <w:t>合同设备安装</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（1）成交供应商负责合同货物（设备）的安装及相关配套，一切费用由成交供应商负责。</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（2）成交供应商安装时须对安装场地内的其他设备、设施有良好保护措施。</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宋体"/>
          <w:b/>
          <w:bCs/>
          <w:szCs w:val="21"/>
        </w:rPr>
        <w:t>付款及结算方式</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（一）全部货物到达交货地点，并安装调试且验收合格后，凭验收合格单或验收合格报告,采购人自收到发票之日起30个工作日内向成交供应商支付合同总价的100%。</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（二）成交供应商凭以下有效文件与采购人结算：成交供应商开具的正式发票、 验收报告（加盖采购人公章）。</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（三）支付方式：银行转账。</w:t>
      </w:r>
    </w:p>
    <w:p>
      <w:pPr>
        <w:pStyle w:val="28"/>
        <w:numPr>
          <w:ilvl w:val="0"/>
          <w:numId w:val="13"/>
        </w:numPr>
        <w:snapToGrid w:val="0"/>
        <w:spacing w:line="360" w:lineRule="auto"/>
        <w:ind w:firstLineChars="0"/>
        <w:rPr>
          <w:rFonts w:hint="eastAsia" w:ascii="宋体" w:hAnsi="宋体" w:eastAsia="宋体" w:cs="宋体"/>
          <w:b/>
          <w:bCs/>
          <w:szCs w:val="21"/>
        </w:rPr>
      </w:pPr>
      <w:r>
        <w:rPr>
          <w:rFonts w:hint="eastAsia" w:ascii="宋体" w:hAnsi="宋体" w:eastAsia="宋体" w:cs="宋体"/>
          <w:b/>
          <w:bCs/>
          <w:szCs w:val="21"/>
        </w:rPr>
        <w:t>其他要求</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外来人员进入监管区大门后，必须保管好《外来人员通行证》或《外来人员临时通行证》，且成交供应商在合同履约过程中须严格遵守监狱管理制度和保密制度，不得泄露或者不正当使用采购人相关信息，因此造成采购人损失的，应当承担赔偿责任。</w:t>
      </w:r>
    </w:p>
    <w:bookmarkEnd w:id="1"/>
    <w:p>
      <w:pPr>
        <w:pStyle w:val="19"/>
        <w:spacing w:before="0" w:after="0"/>
        <w:rPr>
          <w:rFonts w:hint="eastAsia" w:ascii="宋体" w:hAnsi="宋体"/>
          <w:lang w:val="zh-CN"/>
        </w:rPr>
      </w:pPr>
      <w:r>
        <w:rPr>
          <w:rFonts w:ascii="宋体" w:hAnsi="宋体"/>
          <w:lang w:val="zh-CN"/>
        </w:rPr>
        <w:br w:type="page"/>
      </w:r>
    </w:p>
    <w:p>
      <w:pPr>
        <w:pStyle w:val="19"/>
        <w:spacing w:before="0" w:after="0"/>
        <w:rPr>
          <w:rFonts w:hint="eastAsia" w:ascii="宋体" w:hAnsi="宋体"/>
          <w:lang w:val="zh-CN"/>
        </w:rPr>
      </w:pPr>
      <w:r>
        <w:rPr>
          <w:rFonts w:hint="eastAsia" w:ascii="宋体" w:hAnsi="宋体"/>
          <w:lang w:val="zh-CN"/>
        </w:rPr>
        <w:t>第三章 报价附件</w:t>
      </w:r>
    </w:p>
    <w:p>
      <w:pPr>
        <w:pStyle w:val="5"/>
        <w:spacing w:before="0" w:after="0"/>
        <w:jc w:val="center"/>
        <w:rPr>
          <w:rFonts w:hint="eastAsia" w:ascii="宋体" w:hAnsi="宋体" w:eastAsia="宋体"/>
          <w:lang w:val="zh-CN"/>
        </w:rPr>
      </w:pPr>
      <w:r>
        <w:rPr>
          <w:rFonts w:hint="eastAsia" w:ascii="宋体" w:hAnsi="宋体" w:eastAsia="宋体"/>
          <w:lang w:val="zh-CN"/>
        </w:rPr>
        <w:t>报 价 表</w:t>
      </w:r>
    </w:p>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p>
    <w:tbl>
      <w:tblPr>
        <w:tblStyle w:val="24"/>
        <w:tblW w:w="7813"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211"/>
        <w:gridCol w:w="900"/>
        <w:gridCol w:w="2168"/>
        <w:gridCol w:w="15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33" w:hRule="atLeast"/>
          <w:jc w:val="center"/>
        </w:trPr>
        <w:tc>
          <w:tcPr>
            <w:tcW w:w="3211" w:type="dxa"/>
            <w:tcBorders>
              <w:top w:val="single" w:color="auto" w:sz="12" w:space="0"/>
              <w:left w:val="single" w:color="auto" w:sz="12" w:space="0"/>
              <w:bottom w:val="single" w:color="auto" w:sz="2" w:space="0"/>
              <w:right w:val="single" w:color="auto" w:sz="2" w:space="0"/>
            </w:tcBorders>
            <w:shd w:val="clear" w:color="auto" w:fill="auto"/>
            <w:vAlign w:val="center"/>
          </w:tcPr>
          <w:p>
            <w:pPr>
              <w:pStyle w:val="18"/>
              <w:widowControl w:val="0"/>
              <w:autoSpaceDE w:val="0"/>
              <w:autoSpaceDN w:val="0"/>
              <w:spacing w:before="0" w:beforeAutospacing="0" w:after="0" w:afterAutospacing="0"/>
              <w:jc w:val="center"/>
              <w:rPr>
                <w:rFonts w:hint="eastAsia"/>
                <w:b/>
                <w:sz w:val="21"/>
                <w:szCs w:val="21"/>
                <w:shd w:val="clear" w:color="auto" w:fill="FFFFFF"/>
              </w:rPr>
            </w:pPr>
            <w:r>
              <w:rPr>
                <w:b/>
                <w:kern w:val="2"/>
                <w:sz w:val="21"/>
                <w:szCs w:val="21"/>
                <w:lang w:bidi="ar"/>
              </w:rPr>
              <w:t>项目名称</w:t>
            </w:r>
          </w:p>
        </w:tc>
        <w:tc>
          <w:tcPr>
            <w:tcW w:w="900" w:type="dxa"/>
            <w:tcBorders>
              <w:top w:val="single" w:color="auto" w:sz="12" w:space="0"/>
              <w:left w:val="single" w:color="auto" w:sz="2" w:space="0"/>
              <w:bottom w:val="single" w:color="auto" w:sz="2" w:space="0"/>
              <w:right w:val="single" w:color="auto" w:sz="2" w:space="0"/>
            </w:tcBorders>
            <w:vAlign w:val="center"/>
          </w:tcPr>
          <w:p>
            <w:pPr>
              <w:shd w:val="clear" w:color="auto" w:fill="FFFFFF"/>
              <w:snapToGrid w:val="0"/>
              <w:jc w:val="center"/>
              <w:rPr>
                <w:rFonts w:hint="eastAsia" w:ascii="宋体" w:hAnsi="宋体" w:cs="宋体"/>
                <w:b/>
                <w:szCs w:val="21"/>
                <w:shd w:val="clear" w:color="auto" w:fill="FFFFFF"/>
                <w:lang w:bidi="ar"/>
              </w:rPr>
            </w:pPr>
            <w:r>
              <w:rPr>
                <w:rFonts w:hint="eastAsia" w:ascii="宋体" w:hAnsi="宋体" w:cs="宋体"/>
                <w:b/>
                <w:color w:val="000000"/>
                <w:szCs w:val="21"/>
                <w:lang w:bidi="ar"/>
              </w:rPr>
              <w:t>数量</w:t>
            </w:r>
          </w:p>
        </w:tc>
        <w:tc>
          <w:tcPr>
            <w:tcW w:w="2168" w:type="dxa"/>
            <w:tcBorders>
              <w:top w:val="single" w:color="auto" w:sz="12" w:space="0"/>
              <w:left w:val="single" w:color="auto" w:sz="2" w:space="0"/>
              <w:bottom w:val="single" w:color="auto" w:sz="2" w:space="0"/>
              <w:right w:val="single" w:color="auto" w:sz="2" w:space="0"/>
            </w:tcBorders>
            <w:vAlign w:val="center"/>
          </w:tcPr>
          <w:p>
            <w:pPr>
              <w:shd w:val="clear" w:color="auto" w:fill="FFFFFF"/>
              <w:snapToGrid w:val="0"/>
              <w:jc w:val="center"/>
              <w:rPr>
                <w:rFonts w:hint="eastAsia" w:ascii="宋体" w:hAnsi="宋体" w:cs="宋体"/>
                <w:b/>
                <w:szCs w:val="21"/>
                <w:shd w:val="clear" w:color="auto" w:fill="FFFFFF"/>
                <w:lang w:bidi="ar"/>
              </w:rPr>
            </w:pPr>
            <w:r>
              <w:rPr>
                <w:rFonts w:hint="eastAsia" w:ascii="宋体" w:hAnsi="宋体" w:cs="宋体"/>
                <w:b/>
                <w:szCs w:val="21"/>
                <w:shd w:val="clear" w:color="auto" w:fill="FFFFFF"/>
                <w:lang w:bidi="ar"/>
              </w:rPr>
              <w:t>下浮率报价</w:t>
            </w:r>
          </w:p>
        </w:tc>
        <w:tc>
          <w:tcPr>
            <w:tcW w:w="1534" w:type="dxa"/>
            <w:tcBorders>
              <w:top w:val="single" w:color="auto" w:sz="12" w:space="0"/>
              <w:left w:val="single" w:color="auto" w:sz="2" w:space="0"/>
              <w:bottom w:val="single" w:color="auto" w:sz="2" w:space="0"/>
              <w:right w:val="single" w:color="auto" w:sz="12" w:space="0"/>
            </w:tcBorders>
            <w:shd w:val="clear" w:color="auto" w:fill="auto"/>
            <w:vAlign w:val="center"/>
          </w:tcPr>
          <w:p>
            <w:pPr>
              <w:shd w:val="clear" w:color="auto" w:fill="FFFFFF"/>
              <w:snapToGrid w:val="0"/>
              <w:jc w:val="center"/>
              <w:rPr>
                <w:rFonts w:hint="eastAsia" w:ascii="宋体" w:hAnsi="宋体" w:cs="宋体"/>
                <w:b/>
                <w:szCs w:val="21"/>
                <w:shd w:val="clear" w:color="auto" w:fill="FFFFFF"/>
              </w:rPr>
            </w:pPr>
            <w:r>
              <w:rPr>
                <w:rFonts w:hint="eastAsia" w:ascii="宋体" w:hAnsi="宋体" w:cs="宋体"/>
                <w:b/>
                <w:szCs w:val="21"/>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47" w:hRule="atLeast"/>
          <w:jc w:val="center"/>
        </w:trPr>
        <w:tc>
          <w:tcPr>
            <w:tcW w:w="3211" w:type="dxa"/>
            <w:tcBorders>
              <w:top w:val="single" w:color="auto" w:sz="2" w:space="0"/>
              <w:left w:val="single" w:color="auto" w:sz="12" w:space="0"/>
              <w:bottom w:val="single" w:color="auto" w:sz="12" w:space="0"/>
              <w:right w:val="single" w:color="auto" w:sz="2" w:space="0"/>
            </w:tcBorders>
            <w:shd w:val="clear" w:color="auto" w:fill="auto"/>
            <w:vAlign w:val="center"/>
          </w:tcPr>
          <w:p>
            <w:pPr>
              <w:pStyle w:val="18"/>
              <w:widowControl w:val="0"/>
              <w:autoSpaceDE w:val="0"/>
              <w:autoSpaceDN w:val="0"/>
              <w:spacing w:before="0" w:beforeAutospacing="0" w:after="0" w:afterAutospacing="0"/>
              <w:jc w:val="center"/>
              <w:rPr>
                <w:rFonts w:hint="eastAsia"/>
                <w:sz w:val="21"/>
                <w:szCs w:val="21"/>
                <w:shd w:val="clear" w:color="auto" w:fill="FFFFFF"/>
              </w:rPr>
            </w:pPr>
            <w:r>
              <w:rPr>
                <w:rFonts w:hint="eastAsia"/>
                <w:sz w:val="21"/>
                <w:szCs w:val="21"/>
                <w:shd w:val="clear" w:color="auto" w:fill="FFFFFF"/>
              </w:rPr>
              <w:t>广东省从化监狱狱内文体馆灯光、幕布等物品采购项目</w:t>
            </w:r>
          </w:p>
        </w:tc>
        <w:tc>
          <w:tcPr>
            <w:tcW w:w="900" w:type="dxa"/>
            <w:tcBorders>
              <w:top w:val="single" w:color="auto" w:sz="2" w:space="0"/>
              <w:left w:val="single" w:color="auto" w:sz="2" w:space="0"/>
              <w:bottom w:val="single" w:color="auto" w:sz="12" w:space="0"/>
              <w:right w:val="single" w:color="auto" w:sz="2" w:space="0"/>
            </w:tcBorders>
            <w:vAlign w:val="center"/>
          </w:tcPr>
          <w:p>
            <w:pPr>
              <w:shd w:val="clear" w:color="auto" w:fill="FFFFFF"/>
              <w:jc w:val="center"/>
              <w:rPr>
                <w:rFonts w:hint="eastAsia" w:ascii="宋体" w:hAnsi="宋体" w:cs="宋体"/>
                <w:szCs w:val="21"/>
                <w:u w:val="single"/>
                <w:shd w:val="clear" w:color="auto" w:fill="FFFFFF"/>
              </w:rPr>
            </w:pPr>
            <w:r>
              <w:rPr>
                <w:rFonts w:hint="eastAsia" w:ascii="宋体" w:hAnsi="宋体" w:cs="宋体"/>
                <w:color w:val="000000"/>
                <w:szCs w:val="21"/>
                <w:lang w:bidi="ar"/>
              </w:rPr>
              <w:t>1批</w:t>
            </w:r>
          </w:p>
        </w:tc>
        <w:tc>
          <w:tcPr>
            <w:tcW w:w="2168" w:type="dxa"/>
            <w:tcBorders>
              <w:top w:val="single" w:color="auto" w:sz="2" w:space="0"/>
              <w:left w:val="single" w:color="auto" w:sz="2" w:space="0"/>
              <w:bottom w:val="single" w:color="auto" w:sz="12" w:space="0"/>
              <w:right w:val="single" w:color="auto" w:sz="2" w:space="0"/>
            </w:tcBorders>
            <w:vAlign w:val="center"/>
          </w:tcPr>
          <w:p>
            <w:pPr>
              <w:shd w:val="clear" w:color="auto" w:fill="FFFFFF"/>
              <w:jc w:val="center"/>
              <w:rPr>
                <w:rFonts w:hint="eastAsia" w:ascii="宋体" w:hAnsi="宋体" w:cs="宋体"/>
                <w:szCs w:val="21"/>
                <w:shd w:val="clear" w:color="auto" w:fill="FFFFFF"/>
              </w:rPr>
            </w:pP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tc>
        <w:tc>
          <w:tcPr>
            <w:tcW w:w="1534" w:type="dxa"/>
            <w:tcBorders>
              <w:top w:val="single" w:color="auto" w:sz="2" w:space="0"/>
              <w:left w:val="single" w:color="auto" w:sz="2" w:space="0"/>
              <w:bottom w:val="single" w:color="auto" w:sz="12" w:space="0"/>
              <w:right w:val="single" w:color="auto" w:sz="12" w:space="0"/>
            </w:tcBorders>
            <w:shd w:val="clear" w:color="auto" w:fill="auto"/>
            <w:vAlign w:val="center"/>
          </w:tcPr>
          <w:p>
            <w:pPr>
              <w:shd w:val="clear" w:color="auto" w:fill="FFFFFF"/>
              <w:jc w:val="center"/>
              <w:rPr>
                <w:rFonts w:hint="eastAsia" w:ascii="宋体" w:hAnsi="宋体" w:cs="宋体"/>
                <w:szCs w:val="21"/>
                <w:shd w:val="clear" w:color="auto" w:fill="FFFFFF"/>
              </w:rPr>
            </w:pPr>
          </w:p>
        </w:tc>
      </w:tr>
    </w:tbl>
    <w:p>
      <w:pPr>
        <w:tabs>
          <w:tab w:val="left" w:pos="567"/>
        </w:tabs>
        <w:adjustRightInd w:val="0"/>
        <w:snapToGrid w:val="0"/>
        <w:spacing w:line="360" w:lineRule="auto"/>
        <w:ind w:firstLine="420" w:firstLineChars="200"/>
        <w:textAlignment w:val="baseline"/>
        <w:rPr>
          <w:rFonts w:hint="eastAsia" w:ascii="宋体" w:hAnsi="宋体" w:eastAsia="宋体" w:cs="宋体"/>
          <w:szCs w:val="21"/>
        </w:rPr>
      </w:pPr>
    </w:p>
    <w:tbl>
      <w:tblPr>
        <w:tblStyle w:val="24"/>
        <w:tblW w:w="10206" w:type="dxa"/>
        <w:jc w:val="center"/>
        <w:tblInd w:w="0" w:type="dxa"/>
        <w:tblLayout w:type="fixed"/>
        <w:tblCellMar>
          <w:top w:w="0" w:type="dxa"/>
          <w:left w:w="108" w:type="dxa"/>
          <w:bottom w:w="0" w:type="dxa"/>
          <w:right w:w="108" w:type="dxa"/>
        </w:tblCellMar>
      </w:tblPr>
      <w:tblGrid>
        <w:gridCol w:w="480"/>
        <w:gridCol w:w="679"/>
        <w:gridCol w:w="3094"/>
        <w:gridCol w:w="567"/>
        <w:gridCol w:w="567"/>
        <w:gridCol w:w="1134"/>
        <w:gridCol w:w="851"/>
        <w:gridCol w:w="850"/>
        <w:gridCol w:w="1083"/>
        <w:gridCol w:w="901"/>
      </w:tblGrid>
      <w:tr>
        <w:tblPrEx>
          <w:tblLayout w:type="fixed"/>
          <w:tblCellMar>
            <w:top w:w="0" w:type="dxa"/>
            <w:left w:w="108" w:type="dxa"/>
            <w:bottom w:w="0" w:type="dxa"/>
            <w:right w:w="108" w:type="dxa"/>
          </w:tblCellMar>
        </w:tblPrEx>
        <w:trPr>
          <w:trHeight w:val="539" w:hRule="atLeast"/>
          <w:tblHeader/>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序号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产品名称</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b/>
                <w:bCs/>
                <w:color w:val="000000"/>
                <w:szCs w:val="21"/>
              </w:rPr>
            </w:pPr>
            <w:r>
              <w:rPr>
                <w:rFonts w:hint="eastAsia" w:ascii="宋体" w:hAnsi="宋体" w:eastAsia="宋体" w:cs="仿宋"/>
                <w:b/>
                <w:bCs/>
                <w:color w:val="000000"/>
                <w:kern w:val="0"/>
                <w:szCs w:val="21"/>
                <w:lang w:bidi="ar"/>
              </w:rPr>
              <w:t>单价最高限价（元）</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b/>
                <w:bCs/>
                <w:color w:val="000000"/>
                <w:kern w:val="0"/>
                <w:szCs w:val="21"/>
                <w:lang w:bidi="ar"/>
              </w:rPr>
            </w:pPr>
            <w:r>
              <w:rPr>
                <w:rFonts w:hint="eastAsia" w:ascii="宋体" w:hAnsi="宋体" w:eastAsia="宋体" w:cs="仿宋"/>
                <w:b/>
                <w:bCs/>
                <w:color w:val="000000"/>
                <w:kern w:val="0"/>
                <w:szCs w:val="21"/>
                <w:lang w:bidi="ar"/>
              </w:rPr>
              <w:t>品牌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b/>
                <w:bCs/>
                <w:color w:val="000000"/>
                <w:kern w:val="0"/>
                <w:szCs w:val="21"/>
                <w:lang w:bidi="ar"/>
              </w:rPr>
            </w:pPr>
            <w:r>
              <w:rPr>
                <w:rFonts w:hint="eastAsia" w:ascii="宋体" w:hAnsi="宋体" w:eastAsia="宋体" w:cs="仿宋"/>
                <w:b/>
                <w:bCs/>
                <w:color w:val="000000"/>
                <w:kern w:val="0"/>
                <w:szCs w:val="21"/>
                <w:lang w:bidi="ar"/>
              </w:rPr>
              <w:t>型号</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b/>
                <w:bCs/>
                <w:color w:val="000000"/>
                <w:kern w:val="0"/>
                <w:szCs w:val="21"/>
                <w:lang w:bidi="ar"/>
              </w:rPr>
            </w:pPr>
            <w:r>
              <w:rPr>
                <w:rFonts w:hint="eastAsia" w:ascii="宋体" w:hAnsi="宋体" w:eastAsia="宋体" w:cs="仿宋"/>
                <w:b/>
                <w:bCs/>
                <w:color w:val="000000"/>
                <w:kern w:val="0"/>
                <w:szCs w:val="21"/>
                <w:lang w:bidi="ar"/>
              </w:rPr>
              <w:t>参数响应情况</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b/>
                <w:bCs/>
                <w:color w:val="000000"/>
                <w:kern w:val="0"/>
                <w:szCs w:val="21"/>
                <w:lang w:bidi="ar"/>
              </w:rPr>
            </w:pPr>
            <w:r>
              <w:rPr>
                <w:rFonts w:hint="eastAsia" w:ascii="宋体" w:hAnsi="宋体" w:eastAsia="宋体" w:cs="仿宋"/>
                <w:b/>
                <w:bCs/>
                <w:color w:val="000000"/>
                <w:kern w:val="0"/>
                <w:szCs w:val="21"/>
                <w:lang w:bidi="ar"/>
              </w:rPr>
              <w:t>备注</w:t>
            </w:r>
          </w:p>
        </w:tc>
      </w:tr>
      <w:tr>
        <w:tblPrEx>
          <w:tblLayout w:type="fixed"/>
          <w:tblCellMar>
            <w:top w:w="0" w:type="dxa"/>
            <w:left w:w="108" w:type="dxa"/>
            <w:bottom w:w="0" w:type="dxa"/>
            <w:right w:w="108" w:type="dxa"/>
          </w:tblCellMar>
        </w:tblPrEx>
        <w:trPr>
          <w:trHeight w:val="526" w:hRule="atLeast"/>
          <w:jc w:val="center"/>
        </w:trPr>
        <w:tc>
          <w:tcPr>
            <w:tcW w:w="10206"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b/>
                <w:bCs/>
                <w:color w:val="000000"/>
                <w:kern w:val="0"/>
                <w:szCs w:val="21"/>
                <w:lang w:bidi="ar"/>
              </w:rPr>
              <w:tab/>
            </w:r>
            <w:r>
              <w:rPr>
                <w:rFonts w:hint="eastAsia" w:ascii="宋体" w:hAnsi="宋体" w:eastAsia="宋体" w:cs="仿宋"/>
                <w:b/>
                <w:bCs/>
                <w:color w:val="000000"/>
                <w:kern w:val="0"/>
                <w:szCs w:val="21"/>
                <w:lang w:bidi="ar"/>
              </w:rPr>
              <w:t>一、灯光系统</w:t>
            </w:r>
            <w:r>
              <w:rPr>
                <w:rFonts w:hint="eastAsia" w:ascii="宋体" w:hAnsi="宋体" w:eastAsia="宋体" w:cs="仿宋"/>
                <w:b/>
                <w:bCs/>
                <w:color w:val="000000"/>
                <w:kern w:val="0"/>
                <w:szCs w:val="21"/>
                <w:lang w:bidi="ar"/>
              </w:rPr>
              <w:tab/>
            </w:r>
          </w:p>
        </w:tc>
      </w:tr>
      <w:tr>
        <w:tblPrEx>
          <w:tblLayout w:type="fixed"/>
          <w:tblCellMar>
            <w:top w:w="0" w:type="dxa"/>
            <w:left w:w="108" w:type="dxa"/>
            <w:bottom w:w="0" w:type="dxa"/>
            <w:right w:w="108" w:type="dxa"/>
          </w:tblCellMar>
        </w:tblPrEx>
        <w:trPr>
          <w:trHeight w:val="31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LED影视平板灯</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1.输入电压：AC110-240V，50-60HZ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2.额定功率：≥150W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3.色温：3200K/5600K可选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4.调光：0-100%无极调光，平滑无闪烁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5.显色指数：Ra≥97</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6.光通量：≥9700 lm</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7.控制方式：①DMX512信号控制调光;②主机模式调光;③中控调光;④2.4G无线调光;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8.透光率：≥90%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9.透光镜莫氏硬度：≥8H</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10.散热：静音风扇，自然散热 ,压铸铝型材黑色外壳；</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温控保护：灯体温控保护；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2116.00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五色LED效果灯</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1.LED灯珠数≥60颗</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2.出光角度：15°，25°，45°高效光学透镜（出光角度可供选择）</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3.额定功率≥185W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4.色温：3200K-7800k</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5.控制方式：单机、主/从、声控、DMX512，自走效果、自动淡入淡出效果</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6.光源功率：超亮度LED，60颗×3W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7.混色效果：均匀的RGBWA无极混色系统，每种颜色能单独控制，演绎出多种效果</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8.内置功能：内置10种以上灯光效果程序，可脱控制器同步运行。</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9.频闪：≥25次/秒频闪，脉冲频闪，随机频闪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10.调光：频闪/调光：0-100%线性调光；电子线性调光、采用静态恒流驱动方式无闪烁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11.控制协议：国际标准DMX512控制协议</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12.控制通道：≥8个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13.控制模式：具备DMX模式、随机模式、自走模式、声控模式，可自由选择</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14.支持CIPT协议，无线控灯、移动设备远程控制，内置灯库编辑软件；内置Visualiser线条式灯光可视化软件，可以预编程、MIDI时间码声光同步功能的灯控台控制使用</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15.透光率：≥90%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16.透光镜莫氏硬度：≥8H</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17.灯具线材：电源线和信号线材，符合国家标准。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18.机身结构：高韧度高强度铝质+铁质架构、灯体黑色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1116.00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49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追光灯</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支持电压:AC100V~240V 50Hz/60Hz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耗电功率:380W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灯泡规格:330Wled 灯珠</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颜 色:一个彩色转轮6颜色+白光</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控制信号:自配信号 旋钮控制</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控制模式:单机模式</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光学系统: 330Wled 灯珠</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光圈效果:光圈大小可调</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频 闪:1-7次/秒频闪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色温校正:正常5600k,调高6000K,调低3200K</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外 壳:铝合金包边</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换色、光圈大小、频闪等功能可用按键控制。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2166.00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120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1024控台</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 通道数：1024</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电脑灯的配接数量：96</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电脑灯重新配接地址码：支持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灯具水平垂直交换：支持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灯具通道反倒输出：支持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灯具通道滑步模式切换：支持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每台电脑灯最多可用控制通道：40主通道+40微调通道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灯库：支持珍珠R20灯库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可保存的场景数量：60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可同时运行的场景数量：10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多步场景的总步数：600</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场景的时间控制：淡入、淡出、LTP滑步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每个场景可存储图形数量：5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推杆启动场景并进行调光：支持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互锁场景：支持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点控场景：支持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图形生成器：可生成Dimmer, P/T, RGB, CMY, Color, Gobo, Iris, Focus图形</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可同时运行图形数量：5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主控推杆：全局、重演、灯具</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立即黑场：支持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转盘调整通道数值：支持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推杆调整通道数值：支持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推杆调光：支持</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U盘读取：支持FAT32格式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2216.00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92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信号隔离放大器</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1.DMX数字信号光电藕合隔离1进6出</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2.8位独立放大的DMX信号输出</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3.有效提高DMX信号传送能力</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4.有效提高DMX信号抗干扰能力</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5.DMX信号光电隔离</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6.防止市电高压串入调光台</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7.防止雷击高压串入调光台</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8.可以直接安装到标准机柜上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1437.00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84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电源直通箱</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供电：三相五线制AC380V±10％，频率50Hz±5％.</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额定功率：12路×4KW；可适用于任何负载.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过载与短路双重保护高分断空气开关.</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A.B.C三相工作指示灯. 设两脚和三脚万能用插座方便使用，进口接线端输入，单40A胶木插输出。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1694.00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39" w:hRule="atLeast"/>
          <w:jc w:val="center"/>
        </w:trPr>
        <w:tc>
          <w:tcPr>
            <w:tcW w:w="10206"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b/>
                <w:bCs/>
                <w:color w:val="000000"/>
                <w:kern w:val="0"/>
                <w:szCs w:val="21"/>
                <w:lang w:bidi="ar"/>
              </w:rPr>
              <w:t>二、舞台机械</w:t>
            </w:r>
          </w:p>
        </w:tc>
      </w:tr>
      <w:tr>
        <w:tblPrEx>
          <w:tblLayout w:type="fixed"/>
          <w:tblCellMar>
            <w:top w:w="0" w:type="dxa"/>
            <w:left w:w="108" w:type="dxa"/>
            <w:bottom w:w="0" w:type="dxa"/>
            <w:right w:w="108" w:type="dxa"/>
          </w:tblCellMar>
        </w:tblPrEx>
        <w:trPr>
          <w:trHeight w:val="63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电动对开大幕系统</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最大牵引：500N</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运行速度：0.01-1.0m/s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噪    音：≤50db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电机功率：1100W</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电源：AC380/50Hz                                                                                                                                         L40×4 架结构轨道                                                                                                                                        含滑轮、跑车、挂钩、限位等                                                                                                                            轨道固定吊挂在电动幕布吊杆下方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道</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17986.00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14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前檐幕</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材质：金丝绒                                                                                                                                           颜色：玫红色                                                                                                                                                          尺寸：宽18米，高2米，</w:t>
            </w:r>
            <w:r>
              <w:rPr>
                <w:rFonts w:hint="eastAsia" w:ascii="宋体" w:hAnsi="宋体" w:eastAsia="宋体" w:cs="仿宋"/>
                <w:kern w:val="0"/>
                <w:szCs w:val="21"/>
                <w:lang w:bidi="ar"/>
              </w:rPr>
              <w:t>褶比3:1</w:t>
            </w:r>
            <w:r>
              <w:rPr>
                <w:rFonts w:hint="eastAsia" w:ascii="宋体" w:hAnsi="宋体" w:eastAsia="宋体" w:cs="仿宋"/>
                <w:color w:val="000000"/>
                <w:kern w:val="0"/>
                <w:szCs w:val="21"/>
                <w:lang w:bidi="ar"/>
              </w:rPr>
              <w:t>（1幅）                                                                                                                               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衬里和面料同材质同颜色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14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大幕</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材质：金丝绒                                                                                                                                           颜色：玫红色                                                                                                                                                          尺寸：宽10米，高7.85米，</w:t>
            </w:r>
            <w:r>
              <w:rPr>
                <w:rFonts w:hint="eastAsia" w:ascii="宋体" w:hAnsi="宋体" w:eastAsia="宋体" w:cs="仿宋"/>
                <w:kern w:val="0"/>
                <w:szCs w:val="21"/>
                <w:lang w:bidi="ar"/>
              </w:rPr>
              <w:t>褶比3:1</w:t>
            </w:r>
            <w:r>
              <w:rPr>
                <w:rFonts w:hint="eastAsia" w:ascii="宋体" w:hAnsi="宋体" w:eastAsia="宋体" w:cs="仿宋"/>
                <w:color w:val="000000"/>
                <w:kern w:val="0"/>
                <w:szCs w:val="21"/>
                <w:lang w:bidi="ar"/>
              </w:rPr>
              <w:t>（2幅）                                                                                                                                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衬里和面料同材质同颜色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471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cantSplit/>
          <w:trHeight w:val="130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横条幕</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材质：金丝绒</w:t>
            </w:r>
          </w:p>
          <w:p>
            <w:r>
              <w:rPr>
                <w:rFonts w:hint="eastAsia"/>
              </w:rPr>
              <w:t>颜色：墨绿色</w:t>
            </w:r>
          </w:p>
          <w:p>
            <w:pPr>
              <w:rPr>
                <w:rFonts w:hint="eastAsia" w:asciiTheme="minorEastAsia" w:hAnsiTheme="minorEastAsia"/>
              </w:rPr>
            </w:pPr>
            <w:r>
              <w:rPr>
                <w:rFonts w:hint="eastAsia"/>
              </w:rPr>
              <w:t>尺寸：</w:t>
            </w:r>
            <w:r>
              <w:rPr>
                <w:rFonts w:hint="eastAsia" w:asciiTheme="minorEastAsia" w:hAnsiTheme="minorEastAsia"/>
              </w:rPr>
              <w:t>宽</w:t>
            </w:r>
            <w:r>
              <w:rPr>
                <w:rFonts w:asciiTheme="minorEastAsia" w:hAnsiTheme="minorEastAsia"/>
              </w:rPr>
              <w:t>18</w:t>
            </w:r>
            <w:r>
              <w:rPr>
                <w:rFonts w:hint="eastAsia" w:asciiTheme="minorEastAsia" w:hAnsiTheme="minorEastAsia"/>
              </w:rPr>
              <w:t>米，高</w:t>
            </w:r>
            <w:r>
              <w:rPr>
                <w:rFonts w:asciiTheme="minorEastAsia" w:hAnsiTheme="minorEastAsia"/>
              </w:rPr>
              <w:t>2</w:t>
            </w:r>
            <w:r>
              <w:rPr>
                <w:rFonts w:hint="eastAsia" w:asciiTheme="minorEastAsia" w:hAnsiTheme="minorEastAsia"/>
              </w:rPr>
              <w:t>米，褶比</w:t>
            </w:r>
            <w:r>
              <w:rPr>
                <w:rFonts w:asciiTheme="minorEastAsia" w:hAnsiTheme="minorEastAsia"/>
              </w:rPr>
              <w:t>3:1</w:t>
            </w:r>
            <w:r>
              <w:rPr>
                <w:rFonts w:hint="eastAsia" w:asciiTheme="minorEastAsia" w:hAnsiTheme="minorEastAsia"/>
              </w:rPr>
              <w:t>（</w:t>
            </w:r>
            <w:r>
              <w:rPr>
                <w:rFonts w:asciiTheme="minorEastAsia" w:hAnsiTheme="minorEastAsia"/>
              </w:rPr>
              <w:t>1</w:t>
            </w:r>
            <w:r>
              <w:rPr>
                <w:rFonts w:hint="eastAsia" w:asciiTheme="minorEastAsia" w:hAnsiTheme="minorEastAsia"/>
              </w:rPr>
              <w:t>幅）</w:t>
            </w:r>
          </w:p>
          <w:p>
            <w:pPr>
              <w:rPr>
                <w:rFonts w:hint="eastAsia" w:ascii="宋体" w:hAnsi="宋体" w:eastAsia="宋体" w:cs="仿宋"/>
                <w:color w:val="000000"/>
                <w:kern w:val="0"/>
                <w:szCs w:val="21"/>
                <w:lang w:bidi="ar"/>
              </w:rPr>
            </w:pPr>
            <w:r>
              <w:rPr>
                <w:rFonts w:hint="eastAsia" w:asciiTheme="minorEastAsia" w:hAnsiTheme="minorEastAsia"/>
              </w:rPr>
              <w:t>其他：</w:t>
            </w:r>
            <w:r>
              <w:rPr>
                <w:rFonts w:hint="eastAsia" w:ascii="宋体" w:hAnsi="宋体" w:eastAsia="宋体" w:cs="仿宋"/>
                <w:color w:val="000000"/>
                <w:kern w:val="0"/>
                <w:szCs w:val="21"/>
                <w:lang w:bidi="ar"/>
              </w:rPr>
              <w:t>满足国家消防装备质量B1级阻燃要求</w:t>
            </w:r>
          </w:p>
          <w:p>
            <w:r>
              <w:rPr>
                <w:rFonts w:hint="eastAsia" w:ascii="宋体" w:hAnsi="宋体" w:eastAsia="宋体" w:cs="仿宋"/>
                <w:color w:val="000000"/>
                <w:kern w:val="0"/>
                <w:szCs w:val="21"/>
                <w:lang w:bidi="ar"/>
              </w:rPr>
              <w:t>衬里和面料同材质同颜色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144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侧条幕</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材质：天鹅绒</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颜色：墨绿色</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尺寸：宽2米，高7.85米，褶比3:1（2片）</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其他：满足国家消防装备质量B1级阻燃要求</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衬里和面料同材质同颜色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94.2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52.90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41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幕布杆体</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1）吊杆长度：约17m，2道，主管直径48mm*壁厚2.75mm，表面哑光黑色烤漆。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2）圆管采用无缝防偏结构组件螺纹紧固连接；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3）双管上下连接使用标准平衡抱箍连接，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4）8.8 级螺栓组件固定；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35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7</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灯光吊杆杆体</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1）吊杆长度：约17m，3道，主管直径48mm*壁厚2.75mm，表面哑光黑色烤漆。</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2）圆管采用无缝防偏结构组件螺纹紧固连接；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3）双管上下连接使用标准平衡抱箍连接，</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4）8.8 级螺栓组件固定；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124.80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72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舞台机械控制系统</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模拟点控，控制电动幕布对开，含电源指示，相序保护装置所有吊杆能实行软启动软制动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2316.00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63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舞台桁架</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注：</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栅顶各梁主梁主方管为40mm*80mm*厚度3mm；</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次管为40mm*80mm*厚度3mm；</w:t>
            </w:r>
          </w:p>
          <w:p>
            <w:pPr>
              <w:widowControl/>
              <w:jc w:val="left"/>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柱子主方管为40mm*80mm*厚度3mm；次管为40mm*80mm*厚度3mm；</w:t>
            </w:r>
          </w:p>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地面安装不小于400mm*400mm*5mm铁板，14#化学锚铨，材质为全铁，表面哑光黑色/银色烤漆，桁架总宽度为18m，深度为6m，高度为7.6m，6根立柱，3条横梁，2条纵梁，5条支撑方管。</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1.柱子与柱子之间梁中间提高到20-30公分，现场条件允许下可以上面用钢丝绳望下垂钓；</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2.柱子下面用铁板固定，现场条件允许下可以打八字脚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107916.00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13" w:hRule="atLeast"/>
          <w:jc w:val="center"/>
        </w:trPr>
        <w:tc>
          <w:tcPr>
            <w:tcW w:w="10206"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b/>
                <w:bCs/>
                <w:color w:val="000000"/>
                <w:kern w:val="0"/>
                <w:szCs w:val="21"/>
                <w:lang w:bidi="ar"/>
              </w:rPr>
              <w:t>三</w:t>
            </w:r>
            <w:r>
              <w:rPr>
                <w:rFonts w:hint="eastAsia" w:ascii="宋体" w:hAnsi="宋体" w:eastAsia="宋体" w:cs="仿宋"/>
                <w:b/>
                <w:bCs/>
                <w:color w:val="000000"/>
                <w:szCs w:val="21"/>
              </w:rPr>
              <w:t>、</w:t>
            </w:r>
            <w:r>
              <w:rPr>
                <w:rFonts w:hint="eastAsia" w:ascii="宋体" w:hAnsi="宋体" w:eastAsia="宋体" w:cs="仿宋"/>
                <w:b/>
                <w:bCs/>
                <w:color w:val="000000"/>
                <w:kern w:val="0"/>
                <w:szCs w:val="21"/>
                <w:lang w:bidi="ar"/>
              </w:rPr>
              <w:t>舞台设备</w:t>
            </w:r>
          </w:p>
        </w:tc>
      </w:tr>
      <w:tr>
        <w:tblPrEx>
          <w:tblLayout w:type="fixed"/>
          <w:tblCellMar>
            <w:top w:w="0" w:type="dxa"/>
            <w:left w:w="108" w:type="dxa"/>
            <w:bottom w:w="0" w:type="dxa"/>
            <w:right w:w="108" w:type="dxa"/>
          </w:tblCellMar>
        </w:tblPrEx>
        <w:trPr>
          <w:trHeight w:val="177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数字反馈抑制处理器</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1.采用先进的DSP芯片，内置高级防啸叫及尾音处理算法，无尾音失真，声音干净利落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2.话筒增益可提升8-12dB，拾音距离增加50-100cm</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3.可以识别音箱的声音，可以把音箱返回话筒的声音完全过滤掉而把人说话的声音通过</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4.使用高性能的浮点DSP 实现了反馈抑制、噪声抑制、自动音量调节和频率均衡控制等功能</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5.采用LCD液晶显示屏，操作简单，48V开关，自动混音，旁路功能可调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2325.00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5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特高频天线分配系统</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1.频率响应：470-900MHz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2.分配端口增益：10dB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3.级连端口增益：8dB                                                                                                                               4.阻抗：50ohms                                                                                                                                  5.驻波比：1.5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3788.00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10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无线手持话筒</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1.采用最新的红外自动对频技术（IR)，操作和设置更便易懂</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2.采用数字音码锁定技术，有效阻隔使用环境中的杂讯和干扰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3.双通道UHF无线系统，每通道100个频率可选，频率范围610MHz-670MHz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4.全金属外壳设计，耐用性电镀管体结构，坚固、抗摔、耐磨，单元可以互换使用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5.信道数目: 200个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6.动态范围: &gt;110dB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7.音频响应: 60HZ-18KHZ(±3dB)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8.综合信噪比: &gt;105dB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1312.50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35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无线头戴话筒</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1.采用最新的红外自动对频技术（IR)，操作和设置更便易懂</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2.采用数字音码锁定技术，有效阻隔使用环境中的杂讯和干扰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3.双通道UHF无线系统，每通道100个频率可选，频率范围610MHz-670MHz</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 xml:space="preserve">4.全金属外壳设计，耐用性电镀管体结构，坚固、抗摔、耐磨，单元可以互换使用                           </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5.信道数目: 200个</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6.动态范围: &gt;110dB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7.音频响应: 60HZ-18KHZ(±3dB)</w:t>
            </w:r>
            <w:r>
              <w:rPr>
                <w:rFonts w:hint="eastAsia" w:ascii="宋体" w:hAnsi="宋体" w:eastAsia="宋体" w:cs="仿宋"/>
                <w:color w:val="000000"/>
                <w:kern w:val="0"/>
                <w:szCs w:val="21"/>
                <w:lang w:bidi="ar"/>
              </w:rPr>
              <w:br w:type="textWrapping"/>
            </w:r>
            <w:r>
              <w:rPr>
                <w:rFonts w:hint="eastAsia" w:ascii="宋体" w:hAnsi="宋体" w:eastAsia="宋体" w:cs="仿宋"/>
                <w:color w:val="000000"/>
                <w:kern w:val="0"/>
                <w:szCs w:val="21"/>
                <w:lang w:bidi="ar"/>
              </w:rPr>
              <w:t>8.综合信噪比: &gt;105dB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1312.50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660" w:hRule="atLeast"/>
          <w:jc w:val="center"/>
        </w:trPr>
        <w:tc>
          <w:tcPr>
            <w:tcW w:w="10206" w:type="dxa"/>
            <w:gridSpan w:val="1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b/>
                <w:bCs/>
                <w:color w:val="000000"/>
                <w:kern w:val="0"/>
                <w:szCs w:val="21"/>
                <w:lang w:bidi="ar"/>
              </w:rPr>
              <w:t>四</w:t>
            </w:r>
            <w:r>
              <w:rPr>
                <w:rFonts w:hint="eastAsia" w:ascii="宋体" w:hAnsi="宋体" w:eastAsia="宋体" w:cs="仿宋"/>
                <w:b/>
                <w:bCs/>
                <w:color w:val="000000"/>
                <w:szCs w:val="21"/>
              </w:rPr>
              <w:t>、</w:t>
            </w:r>
            <w:r>
              <w:rPr>
                <w:rFonts w:hint="eastAsia" w:ascii="宋体" w:hAnsi="宋体" w:eastAsia="宋体" w:cs="仿宋"/>
                <w:b/>
                <w:bCs/>
                <w:color w:val="000000"/>
                <w:kern w:val="0"/>
                <w:szCs w:val="21"/>
                <w:lang w:bidi="ar"/>
              </w:rPr>
              <w:t>配件辅材</w:t>
            </w:r>
          </w:p>
        </w:tc>
      </w:tr>
      <w:tr>
        <w:tblPrEx>
          <w:tblLayout w:type="fixed"/>
          <w:tblCellMar>
            <w:top w:w="0" w:type="dxa"/>
            <w:left w:w="108" w:type="dxa"/>
            <w:bottom w:w="0" w:type="dxa"/>
            <w:right w:w="108" w:type="dxa"/>
          </w:tblCellMar>
        </w:tblPrEx>
        <w:trPr>
          <w:trHeight w:val="6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专用电源电缆</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电源线 RVV 电线电缆国标纯铜环保 RVV3*2.5</w:t>
            </w:r>
            <w:r>
              <w:rPr>
                <w:rFonts w:hint="eastAsia"/>
              </w:rPr>
              <w:t>平方毫米</w:t>
            </w:r>
            <w:r>
              <w:rPr>
                <w:rFonts w:hint="eastAsia" w:ascii="宋体" w:hAnsi="宋体" w:eastAsia="宋体" w:cs="仿宋"/>
                <w:color w:val="000000"/>
                <w:kern w:val="0"/>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11.30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47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灯具灯钩</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铝制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4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灯具保险链</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钢丝绳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条</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33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12.00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75"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电缆接插件</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10A</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16.95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6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DMX512信号线</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DMX512信号传输，2*0.5平方毫米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5.00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6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卡侬接头</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信号接头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16.95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66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7</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灯具跳线</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灯具信号跳线、电源跳线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600.00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47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音频跳线</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音频跳线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800.00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r>
        <w:tblPrEx>
          <w:tblLayout w:type="fixed"/>
          <w:tblCellMar>
            <w:top w:w="0" w:type="dxa"/>
            <w:left w:w="108" w:type="dxa"/>
            <w:bottom w:w="0" w:type="dxa"/>
            <w:right w:w="108" w:type="dxa"/>
          </w:tblCellMar>
        </w:tblPrEx>
        <w:trPr>
          <w:trHeight w:val="500"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9</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音频接头</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音频接头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仿宋"/>
                <w:color w:val="000000"/>
                <w:szCs w:val="21"/>
              </w:rPr>
            </w:pPr>
            <w:r>
              <w:rPr>
                <w:rFonts w:hint="eastAsia" w:ascii="宋体" w:hAnsi="宋体" w:eastAsia="宋体" w:cs="仿宋"/>
                <w:color w:val="000000"/>
                <w:kern w:val="0"/>
                <w:szCs w:val="21"/>
                <w:lang w:bidi="ar"/>
              </w:rPr>
              <w:t xml:space="preserve">300.00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r>
              <w:rPr>
                <w:rFonts w:hint="eastAsia" w:ascii="宋体" w:hAnsi="宋体" w:eastAsia="宋体" w:cs="仿宋"/>
                <w:color w:val="000000"/>
                <w:kern w:val="0"/>
                <w:szCs w:val="21"/>
                <w:lang w:bidi="ar"/>
              </w:rPr>
              <w:t>/</w:t>
            </w:r>
          </w:p>
        </w:tc>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仿宋"/>
                <w:color w:val="000000"/>
                <w:kern w:val="0"/>
                <w:szCs w:val="21"/>
                <w:lang w:bidi="ar"/>
              </w:rPr>
            </w:pPr>
          </w:p>
        </w:tc>
      </w:tr>
    </w:tbl>
    <w:p>
      <w:pPr>
        <w:pStyle w:val="18"/>
        <w:shd w:val="clear" w:color="auto" w:fill="FFFFFF"/>
        <w:spacing w:before="0" w:beforeAutospacing="0" w:after="0" w:afterAutospacing="0" w:line="276" w:lineRule="auto"/>
        <w:rPr>
          <w:rFonts w:hint="eastAsia"/>
          <w:b/>
          <w:bCs/>
          <w:color w:val="000000" w:themeColor="text1"/>
          <w:sz w:val="21"/>
          <w:szCs w:val="21"/>
          <w:u w:val="single"/>
          <w14:textFill>
            <w14:solidFill>
              <w14:schemeClr w14:val="tx1"/>
            </w14:solidFill>
          </w14:textFill>
        </w:rPr>
      </w:pPr>
    </w:p>
    <w:p>
      <w:pPr>
        <w:pStyle w:val="18"/>
        <w:shd w:val="clear" w:color="auto" w:fill="FFFFFF"/>
        <w:spacing w:before="0" w:beforeAutospacing="0" w:after="0" w:afterAutospacing="0" w:line="360" w:lineRule="auto"/>
        <w:ind w:left="284" w:hanging="284"/>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注：</w:t>
      </w:r>
    </w:p>
    <w:p>
      <w:pPr>
        <w:pStyle w:val="18"/>
        <w:numPr>
          <w:ilvl w:val="0"/>
          <w:numId w:val="14"/>
        </w:numPr>
        <w:shd w:val="clear" w:color="auto" w:fill="FFFFFF"/>
        <w:spacing w:before="0" w:beforeAutospacing="0" w:after="0" w:afterAutospacing="0" w:line="360" w:lineRule="auto"/>
        <w:ind w:left="284" w:hanging="284"/>
        <w:rPr>
          <w:rFonts w:hint="eastAsia"/>
          <w:b/>
          <w:bCs/>
          <w:color w:val="000000"/>
          <w:sz w:val="21"/>
          <w:szCs w:val="21"/>
          <w:highlight w:val="yellow"/>
        </w:rPr>
      </w:pPr>
      <w:r>
        <w:rPr>
          <w:rFonts w:hint="eastAsia"/>
          <w:b/>
          <w:bCs/>
          <w:color w:val="000000"/>
          <w:sz w:val="21"/>
          <w:szCs w:val="21"/>
          <w:highlight w:val="yellow"/>
        </w:rPr>
        <w:t>供应商须针对本项目的产品参数对应填写所投产品的参数响应情况：若完全响应则填写“完全响应”；若优于需求参数，请填写具体的优于参数说明；若有任意一条负偏离，则视为报价无效。</w:t>
      </w:r>
    </w:p>
    <w:p>
      <w:pPr>
        <w:pStyle w:val="18"/>
        <w:numPr>
          <w:ilvl w:val="0"/>
          <w:numId w:val="14"/>
        </w:numPr>
        <w:shd w:val="clear" w:color="auto" w:fill="FFFFFF"/>
        <w:spacing w:before="0" w:beforeAutospacing="0" w:after="0" w:afterAutospacing="0" w:line="360" w:lineRule="auto"/>
        <w:ind w:left="284" w:hanging="284"/>
        <w:rPr>
          <w:rFonts w:hint="eastAsia"/>
          <w:b/>
          <w:bCs/>
          <w:color w:val="000000"/>
          <w:sz w:val="21"/>
          <w:szCs w:val="21"/>
        </w:rPr>
      </w:pPr>
      <w:r>
        <w:rPr>
          <w:rFonts w:hint="eastAsia"/>
          <w:b/>
          <w:bCs/>
          <w:color w:val="000000"/>
          <w:sz w:val="21"/>
          <w:szCs w:val="21"/>
        </w:rPr>
        <w:t>供应商必须按报价表的格式填写，不得增加或删除表格内容。除项目要求填写的内容外，不得擅自改动报价表内容，否则将有可能影响成交结果，不推荐为成交候选人。</w:t>
      </w:r>
    </w:p>
    <w:p>
      <w:pPr>
        <w:pStyle w:val="18"/>
        <w:numPr>
          <w:ilvl w:val="0"/>
          <w:numId w:val="14"/>
        </w:numPr>
        <w:shd w:val="clear" w:color="auto" w:fill="FFFFFF"/>
        <w:spacing w:before="0" w:beforeAutospacing="0" w:after="0" w:afterAutospacing="0" w:line="360" w:lineRule="auto"/>
        <w:ind w:left="284" w:hanging="284"/>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pPr>
        <w:pStyle w:val="18"/>
        <w:numPr>
          <w:ilvl w:val="0"/>
          <w:numId w:val="14"/>
        </w:numPr>
        <w:shd w:val="clear" w:color="auto" w:fill="FFFFFF"/>
        <w:spacing w:before="0" w:beforeAutospacing="0" w:after="0" w:afterAutospacing="0" w:line="360" w:lineRule="auto"/>
        <w:ind w:left="284" w:hanging="284"/>
        <w:rPr>
          <w:rFonts w:hint="eastAsia"/>
          <w:b/>
          <w:color w:val="000000"/>
          <w:sz w:val="21"/>
          <w:szCs w:val="21"/>
        </w:rPr>
      </w:pPr>
      <w:r>
        <w:rPr>
          <w:rFonts w:hint="eastAsia"/>
          <w:b/>
          <w:color w:val="000000"/>
          <w:sz w:val="21"/>
          <w:szCs w:val="21"/>
        </w:rPr>
        <w:t>平台上报价与报价表报价不一致的，以报价表报价（经价格核准后的价格）为准。</w:t>
      </w:r>
    </w:p>
    <w:p>
      <w:pPr>
        <w:widowControl/>
        <w:numPr>
          <w:ilvl w:val="0"/>
          <w:numId w:val="14"/>
        </w:numPr>
        <w:shd w:val="clear" w:color="auto" w:fill="FFFFFF"/>
        <w:spacing w:line="360" w:lineRule="auto"/>
        <w:ind w:left="284" w:hanging="284"/>
        <w:jc w:val="left"/>
        <w:rPr>
          <w:rFonts w:hint="eastAsia" w:ascii="宋体" w:hAnsi="宋体"/>
          <w:b/>
          <w:bCs/>
          <w:szCs w:val="21"/>
        </w:rPr>
      </w:pPr>
      <w:r>
        <w:rPr>
          <w:rFonts w:ascii="宋体" w:hAnsi="宋体"/>
          <w:b/>
          <w:bCs/>
          <w:szCs w:val="21"/>
        </w:rPr>
        <w:t>下浮率报价没有大于或等于</w:t>
      </w:r>
      <w:r>
        <w:rPr>
          <w:rFonts w:hint="eastAsia" w:ascii="宋体" w:hAnsi="宋体"/>
          <w:b/>
          <w:bCs/>
          <w:szCs w:val="21"/>
        </w:rPr>
        <w:t>100</w:t>
      </w:r>
      <w:r>
        <w:rPr>
          <w:rFonts w:ascii="宋体" w:hAnsi="宋体"/>
          <w:b/>
          <w:bCs/>
          <w:szCs w:val="21"/>
        </w:rPr>
        <w:t>%，也没有为负数，且是固定唯一值的，否则为无效报价</w:t>
      </w:r>
      <w:r>
        <w:rPr>
          <w:rFonts w:hint="eastAsia" w:ascii="宋体" w:hAnsi="宋体"/>
          <w:b/>
          <w:bCs/>
          <w:szCs w:val="21"/>
        </w:rPr>
        <w:t>；下浮率高的为成交供应商。供应商所报下浮率为成交下浮率，即：结算单价</w:t>
      </w:r>
      <w:r>
        <w:rPr>
          <w:rFonts w:ascii="宋体" w:hAnsi="宋体"/>
          <w:b/>
          <w:bCs/>
          <w:szCs w:val="21"/>
        </w:rPr>
        <w:t>=单价</w:t>
      </w:r>
      <w:r>
        <w:rPr>
          <w:rFonts w:hint="eastAsia" w:ascii="宋体" w:hAnsi="宋体"/>
          <w:b/>
          <w:bCs/>
          <w:szCs w:val="21"/>
        </w:rPr>
        <w:t>最高</w:t>
      </w:r>
      <w:r>
        <w:rPr>
          <w:rFonts w:ascii="宋体" w:hAnsi="宋体"/>
          <w:b/>
          <w:bCs/>
          <w:szCs w:val="21"/>
        </w:rPr>
        <w:t>限价*</w:t>
      </w:r>
      <w:r>
        <w:rPr>
          <w:rFonts w:hint="eastAsia" w:ascii="宋体" w:hAnsi="宋体"/>
          <w:b/>
          <w:bCs/>
          <w:szCs w:val="21"/>
        </w:rPr>
        <w:t>（1-成交</w:t>
      </w:r>
      <w:r>
        <w:rPr>
          <w:rFonts w:ascii="宋体" w:hAnsi="宋体"/>
          <w:b/>
          <w:bCs/>
          <w:szCs w:val="21"/>
        </w:rPr>
        <w:t>下浮率</w:t>
      </w:r>
      <w:r>
        <w:rPr>
          <w:rFonts w:hint="eastAsia" w:ascii="宋体" w:hAnsi="宋体"/>
          <w:b/>
          <w:bCs/>
          <w:szCs w:val="21"/>
        </w:rPr>
        <w:t>）</w:t>
      </w:r>
      <w:r>
        <w:rPr>
          <w:rFonts w:ascii="宋体" w:hAnsi="宋体"/>
          <w:b/>
          <w:bCs/>
          <w:szCs w:val="21"/>
        </w:rPr>
        <w:t>；在本项目合同服务履行期间，该下浮率不作另行调整</w:t>
      </w:r>
      <w:r>
        <w:rPr>
          <w:rFonts w:hint="eastAsia" w:ascii="宋体" w:hAnsi="宋体"/>
          <w:b/>
          <w:bCs/>
          <w:szCs w:val="21"/>
        </w:rPr>
        <w:t>。</w:t>
      </w:r>
    </w:p>
    <w:p>
      <w:pPr>
        <w:widowControl/>
        <w:numPr>
          <w:ilvl w:val="0"/>
          <w:numId w:val="14"/>
        </w:numPr>
        <w:spacing w:line="360" w:lineRule="auto"/>
        <w:ind w:left="284" w:hanging="284"/>
        <w:jc w:val="left"/>
        <w:rPr>
          <w:rFonts w:hint="eastAsia" w:ascii="宋体" w:hAnsi="宋体" w:cs="宋体"/>
          <w:b/>
          <w:bCs/>
          <w:kern w:val="0"/>
          <w:szCs w:val="21"/>
        </w:rPr>
      </w:pPr>
      <w:r>
        <w:rPr>
          <w:rFonts w:hint="eastAsia" w:ascii="宋体" w:hAnsi="宋体" w:cs="宋体"/>
          <w:b/>
          <w:bCs/>
          <w:kern w:val="0"/>
          <w:szCs w:val="21"/>
        </w:rPr>
        <w:t>下浮率的报价均应包含国家规定的税费。</w:t>
      </w:r>
    </w:p>
    <w:p>
      <w:pPr>
        <w:pStyle w:val="18"/>
        <w:numPr>
          <w:ilvl w:val="0"/>
          <w:numId w:val="14"/>
        </w:numPr>
        <w:shd w:val="clear" w:color="auto" w:fill="FFFFFF"/>
        <w:spacing w:before="0" w:beforeAutospacing="0" w:after="0" w:afterAutospacing="0" w:line="360" w:lineRule="auto"/>
        <w:ind w:left="284" w:hanging="284"/>
        <w:rPr>
          <w:rFonts w:hint="eastAsia"/>
          <w:b/>
          <w:color w:val="000000" w:themeColor="text1"/>
          <w:sz w:val="21"/>
          <w:szCs w:val="21"/>
          <w14:textFill>
            <w14:solidFill>
              <w14:schemeClr w14:val="tx1"/>
            </w14:solidFill>
          </w14:textFill>
        </w:rPr>
      </w:pPr>
      <w:r>
        <w:rPr>
          <w:rFonts w:hint="eastAsia"/>
          <w:b/>
          <w:bCs/>
          <w:sz w:val="21"/>
          <w:szCs w:val="21"/>
        </w:rPr>
        <w:t>本项目不接受有选择性的报价，只允许报一个下浮率，且所报的下浮率应当适用于本项目采购清单中的所有产品单品</w:t>
      </w:r>
      <w:r>
        <w:rPr>
          <w:rFonts w:hint="eastAsia"/>
          <w:b/>
          <w:color w:val="000000" w:themeColor="text1"/>
          <w:sz w:val="21"/>
          <w:szCs w:val="21"/>
          <w14:textFill>
            <w14:solidFill>
              <w14:schemeClr w14:val="tx1"/>
            </w14:solidFill>
          </w14:textFill>
        </w:rPr>
        <w:t>。</w:t>
      </w:r>
    </w:p>
    <w:p>
      <w:pPr>
        <w:pStyle w:val="2"/>
      </w:pPr>
    </w:p>
    <w:p>
      <w:pPr>
        <w:wordWrap w:val="0"/>
        <w:spacing w:line="360" w:lineRule="auto"/>
        <w:ind w:right="218"/>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right="210"/>
        <w:jc w:val="right"/>
        <w:rPr>
          <w:rFonts w:hint="eastAsia" w:ascii="宋体" w:hAnsi="宋体" w:eastAsia="宋体"/>
          <w:szCs w:val="21"/>
          <w:u w:val="single"/>
        </w:rPr>
      </w:pPr>
    </w:p>
    <w:p>
      <w:pPr>
        <w:wordWrap w:val="0"/>
        <w:spacing w:line="360" w:lineRule="auto"/>
        <w:ind w:right="218"/>
        <w:jc w:val="right"/>
        <w:rPr>
          <w:rFonts w:hint="eastAsia"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pStyle w:val="5"/>
        <w:keepLines w:val="0"/>
        <w:spacing w:before="0" w:after="240" w:line="360" w:lineRule="auto"/>
        <w:ind w:left="720" w:hanging="360"/>
        <w:jc w:val="center"/>
        <w:rPr>
          <w:rFonts w:hint="eastAsia" w:ascii="宋体" w:hAnsi="宋体" w:eastAsia="宋体"/>
        </w:rPr>
      </w:pPr>
      <w:r>
        <w:rPr>
          <w:rFonts w:ascii="宋体" w:hAnsi="宋体" w:eastAsia="宋体"/>
        </w:rPr>
        <w:br w:type="page"/>
      </w:r>
      <w:r>
        <w:rPr>
          <w:rFonts w:hint="eastAsia" w:ascii="宋体" w:hAnsi="宋体" w:eastAsia="宋体"/>
        </w:rPr>
        <w:t>采购需求书响应声明函</w:t>
      </w:r>
    </w:p>
    <w:p>
      <w:pPr>
        <w:spacing w:line="360" w:lineRule="auto"/>
        <w:rPr>
          <w:rFonts w:hint="eastAsia" w:ascii="宋体" w:hAnsi="宋体" w:eastAsia="宋体"/>
          <w:b/>
          <w:szCs w:val="21"/>
        </w:rPr>
      </w:pPr>
      <w:r>
        <w:rPr>
          <w:rFonts w:hint="eastAsia" w:ascii="宋体" w:hAnsi="宋体" w:eastAsia="宋体"/>
          <w:b/>
          <w:szCs w:val="21"/>
        </w:rPr>
        <w:t>致：广东省从化监狱、</w:t>
      </w:r>
      <w:r>
        <w:rPr>
          <w:rFonts w:hint="eastAsia" w:ascii="宋体" w:hAnsi="宋体" w:eastAsia="宋体"/>
          <w:b/>
        </w:rPr>
        <w:t>采联国际招标采购集团有限公司：</w:t>
      </w:r>
    </w:p>
    <w:p>
      <w:pPr>
        <w:spacing w:line="360" w:lineRule="auto"/>
        <w:rPr>
          <w:rFonts w:hint="eastAsia" w:ascii="宋体" w:hAnsi="宋体" w:eastAsia="宋体"/>
          <w:lang w:val="zh-CN"/>
        </w:rPr>
      </w:pPr>
    </w:p>
    <w:p>
      <w:pPr>
        <w:snapToGrid w:val="0"/>
        <w:spacing w:line="360" w:lineRule="auto"/>
        <w:ind w:firstLine="420" w:firstLineChars="200"/>
        <w:rPr>
          <w:rFonts w:hint="eastAsia" w:ascii="宋体" w:hAnsi="宋体" w:eastAsia="宋体"/>
          <w:szCs w:val="21"/>
        </w:rPr>
      </w:pPr>
      <w:r>
        <w:rPr>
          <w:rFonts w:hint="eastAsia" w:ascii="宋体" w:hAnsi="宋体" w:eastAsia="宋体"/>
          <w:szCs w:val="21"/>
        </w:rPr>
        <w:t>关于贵单位、贵司发布</w:t>
      </w:r>
      <w:r>
        <w:rPr>
          <w:rFonts w:hint="eastAsia" w:ascii="宋体" w:hAnsi="宋体" w:eastAsia="宋体" w:cs="宋体"/>
          <w:b/>
          <w:spacing w:val="-3"/>
          <w:szCs w:val="21"/>
          <w:u w:val="single"/>
        </w:rPr>
        <w:t>广东省从化监狱狱内文体馆灯光、幕布等物品采购项目</w:t>
      </w:r>
      <w:r>
        <w:rPr>
          <w:rFonts w:hint="eastAsia" w:ascii="宋体" w:hAnsi="宋体" w:eastAsia="宋体"/>
          <w:szCs w:val="21"/>
        </w:rPr>
        <w:t>的竞价公告，本公司（企业）愿意参加竞价活动，并作出如下声明：</w:t>
      </w:r>
    </w:p>
    <w:p>
      <w:pPr>
        <w:pStyle w:val="38"/>
        <w:tabs>
          <w:tab w:val="left" w:pos="426"/>
        </w:tabs>
        <w:snapToGrid w:val="0"/>
        <w:spacing w:line="360" w:lineRule="auto"/>
        <w:ind w:firstLineChars="0"/>
        <w:rPr>
          <w:rFonts w:hint="eastAsia" w:ascii="宋体" w:hAnsi="宋体"/>
        </w:rPr>
      </w:pPr>
      <w:r>
        <w:rPr>
          <w:rFonts w:hint="eastAsia" w:ascii="宋体" w:hAnsi="宋体"/>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pPr>
        <w:pStyle w:val="38"/>
        <w:tabs>
          <w:tab w:val="left" w:pos="426"/>
        </w:tabs>
        <w:snapToGrid w:val="0"/>
        <w:spacing w:line="360" w:lineRule="auto"/>
        <w:ind w:firstLineChars="0"/>
        <w:rPr>
          <w:rFonts w:hint="eastAsia"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hint="eastAsia" w:ascii="宋体" w:hAnsi="宋体" w:eastAsia="宋体"/>
          <w:b/>
        </w:rPr>
      </w:pPr>
      <w:r>
        <w:rPr>
          <w:rFonts w:hint="eastAsia" w:ascii="宋体" w:hAnsi="宋体" w:eastAsia="宋体"/>
          <w:b/>
        </w:rPr>
        <w:t>备注：</w:t>
      </w:r>
    </w:p>
    <w:p>
      <w:pPr>
        <w:pStyle w:val="28"/>
        <w:numPr>
          <w:ilvl w:val="0"/>
          <w:numId w:val="15"/>
        </w:numPr>
        <w:autoSpaceDE w:val="0"/>
        <w:autoSpaceDN w:val="0"/>
        <w:adjustRightInd w:val="0"/>
        <w:spacing w:line="360" w:lineRule="auto"/>
        <w:ind w:firstLineChars="0"/>
        <w:rPr>
          <w:rFonts w:hint="eastAsia" w:ascii="宋体" w:hAnsi="宋体" w:eastAsia="宋体"/>
        </w:rPr>
      </w:pPr>
      <w:r>
        <w:rPr>
          <w:rFonts w:hint="eastAsia" w:ascii="宋体" w:hAnsi="宋体" w:eastAsia="宋体"/>
        </w:rPr>
        <w:t>本声明函必须提供且内容不得擅自删改，否则视为响应无效。</w:t>
      </w:r>
    </w:p>
    <w:p>
      <w:pPr>
        <w:pStyle w:val="28"/>
        <w:numPr>
          <w:ilvl w:val="0"/>
          <w:numId w:val="15"/>
        </w:numPr>
        <w:snapToGrid w:val="0"/>
        <w:spacing w:line="360" w:lineRule="auto"/>
        <w:ind w:firstLineChars="0"/>
        <w:rPr>
          <w:rFonts w:hint="eastAsia"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jc w:val="left"/>
        <w:rPr>
          <w:rFonts w:hint="eastAsia" w:ascii="宋体" w:hAnsi="宋体" w:eastAsia="宋体"/>
          <w:b/>
          <w:bCs/>
          <w:kern w:val="0"/>
          <w:sz w:val="32"/>
          <w:szCs w:val="32"/>
        </w:rPr>
      </w:pPr>
    </w:p>
    <w:p>
      <w:pPr>
        <w:wordWrap w:val="0"/>
        <w:spacing w:line="360" w:lineRule="auto"/>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spacing w:line="360" w:lineRule="auto"/>
        <w:ind w:firstLine="105" w:firstLineChars="50"/>
        <w:jc w:val="right"/>
        <w:rPr>
          <w:rFonts w:hint="eastAsia" w:ascii="宋体" w:hAnsi="宋体" w:eastAsia="宋体"/>
          <w:szCs w:val="21"/>
          <w:u w:val="single"/>
        </w:rPr>
      </w:pPr>
    </w:p>
    <w:p>
      <w:pPr>
        <w:wordWrap w:val="0"/>
        <w:spacing w:line="360" w:lineRule="auto"/>
        <w:jc w:val="right"/>
        <w:rPr>
          <w:rFonts w:hint="eastAsia" w:ascii="宋体" w:hAnsi="宋体" w:eastAsia="宋体"/>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Pr>
        <w:widowControl/>
        <w:spacing w:line="360" w:lineRule="auto"/>
        <w:jc w:val="right"/>
        <w:rPr>
          <w:rFonts w:hint="eastAsia" w:ascii="宋体" w:hAnsi="宋体" w:eastAsia="宋体"/>
          <w:b/>
          <w:bCs/>
          <w:kern w:val="0"/>
          <w:sz w:val="32"/>
          <w:szCs w:val="32"/>
          <w:lang w:val="zh-CN"/>
        </w:rPr>
      </w:pPr>
    </w:p>
    <w:p>
      <w:pPr>
        <w:rPr>
          <w:rFonts w:hint="eastAsia" w:ascii="宋体" w:hAnsi="宋体" w:eastAsia="宋体"/>
        </w:rPr>
      </w:pPr>
      <w:r>
        <w:rPr>
          <w:rFonts w:ascii="宋体" w:hAnsi="宋体" w:eastAsia="宋体"/>
        </w:rPr>
        <w:br w:type="page"/>
      </w:r>
    </w:p>
    <w:p>
      <w:pPr>
        <w:pStyle w:val="5"/>
        <w:spacing w:before="0" w:after="0"/>
        <w:jc w:val="center"/>
        <w:rPr>
          <w:rFonts w:hint="eastAsia" w:ascii="宋体" w:hAnsi="宋体" w:eastAsia="宋体"/>
        </w:rPr>
      </w:pPr>
      <w:r>
        <w:rPr>
          <w:rFonts w:hint="eastAsia" w:ascii="宋体" w:hAnsi="宋体" w:eastAsia="宋体"/>
        </w:rPr>
        <w:t>供应商资格声明函</w:t>
      </w:r>
    </w:p>
    <w:p>
      <w:pPr>
        <w:rPr>
          <w:rFonts w:hint="eastAsia" w:ascii="宋体" w:hAnsi="宋体" w:eastAsia="宋体"/>
          <w:b/>
          <w:szCs w:val="24"/>
        </w:rPr>
      </w:pPr>
    </w:p>
    <w:p>
      <w:pPr>
        <w:rPr>
          <w:rFonts w:hint="eastAsia" w:ascii="宋体" w:hAnsi="宋体" w:eastAsia="宋体"/>
          <w:b/>
          <w:szCs w:val="24"/>
        </w:rPr>
      </w:pPr>
      <w:r>
        <w:rPr>
          <w:rFonts w:hint="eastAsia" w:ascii="宋体" w:hAnsi="宋体" w:eastAsia="宋体"/>
          <w:b/>
          <w:szCs w:val="21"/>
        </w:rPr>
        <w:t>致：广东省从化监狱</w:t>
      </w:r>
      <w:r>
        <w:rPr>
          <w:rFonts w:hint="eastAsia" w:ascii="宋体" w:hAnsi="宋体" w:eastAsia="宋体"/>
          <w:b/>
          <w:szCs w:val="24"/>
        </w:rPr>
        <w:t>、</w:t>
      </w:r>
      <w:r>
        <w:rPr>
          <w:rFonts w:hint="eastAsia" w:ascii="宋体" w:hAnsi="宋体" w:eastAsia="宋体"/>
          <w:b/>
        </w:rPr>
        <w:t>采联国际招标采购集团有限公司</w:t>
      </w:r>
      <w:r>
        <w:rPr>
          <w:rFonts w:hint="eastAsia" w:ascii="宋体" w:hAnsi="宋体" w:eastAsia="宋体"/>
          <w:b/>
          <w:szCs w:val="24"/>
        </w:rPr>
        <w:t>：</w:t>
      </w:r>
    </w:p>
    <w:p>
      <w:pPr>
        <w:rPr>
          <w:rFonts w:hint="eastAsia" w:ascii="宋体" w:hAnsi="宋体" w:eastAsia="宋体"/>
          <w:b/>
          <w:szCs w:val="24"/>
        </w:rPr>
      </w:pP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关于贵单位、贵司发布</w:t>
      </w:r>
      <w:r>
        <w:rPr>
          <w:rFonts w:hint="eastAsia" w:ascii="宋体" w:hAnsi="宋体" w:eastAsia="宋体" w:cs="宋体"/>
          <w:b/>
          <w:spacing w:val="-3"/>
          <w:szCs w:val="21"/>
          <w:u w:val="single"/>
        </w:rPr>
        <w:t>广东省从化监狱狱内文体馆灯光、幕布等物品采购项目</w:t>
      </w:r>
      <w:r>
        <w:rPr>
          <w:rFonts w:hint="eastAsia" w:ascii="宋体" w:hAnsi="宋体" w:eastAsia="宋体"/>
          <w:szCs w:val="24"/>
        </w:rPr>
        <w:t>的竞价公告，本公司（企业）愿意参加竞价活动，并作出如下声明：</w:t>
      </w:r>
    </w:p>
    <w:p>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（三）具有履行合同所必需的货物、设备和专业技术能力；</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w:t>
      </w:r>
      <w:r>
        <w:rPr>
          <w:rFonts w:hint="eastAsia" w:ascii="宋体" w:hAnsi="宋体"/>
        </w:rPr>
        <w:t>本公司（企业）</w:t>
      </w:r>
      <w:r>
        <w:t>在本项目中不转包分包且不联合竞价。</w:t>
      </w:r>
    </w:p>
    <w:p>
      <w:pPr>
        <w:snapToGrid w:val="0"/>
        <w:spacing w:line="360" w:lineRule="auto"/>
        <w:ind w:firstLine="424" w:firstLineChars="202"/>
        <w:rPr>
          <w:rFonts w:hint="eastAsia" w:ascii="宋体" w:hAnsi="宋体" w:eastAsia="宋体"/>
          <w:szCs w:val="24"/>
        </w:rPr>
      </w:pPr>
      <w:r>
        <w:rPr>
          <w:rFonts w:hint="eastAsia" w:ascii="宋体" w:hAnsi="宋体" w:eastAsia="宋体"/>
          <w:szCs w:val="24"/>
        </w:rPr>
        <w:t>本公司（企业）承诺在本次采购活动中，如有违法、违规</w:t>
      </w:r>
      <w:r>
        <w:rPr>
          <w:rFonts w:hint="eastAsia" w:ascii="宋体" w:hAnsi="宋体" w:eastAsia="宋体"/>
          <w:szCs w:val="21"/>
        </w:rPr>
        <w:t>、</w:t>
      </w:r>
      <w:r>
        <w:rPr>
          <w:rFonts w:hint="eastAsia" w:ascii="宋体" w:hAnsi="宋体" w:eastAsia="宋体"/>
          <w:szCs w:val="24"/>
        </w:rPr>
        <w:t>弄虚作假行为，所造成的损失、不良后果及法律责任，一律由我公司（企业）承担。</w:t>
      </w:r>
    </w:p>
    <w:p>
      <w:pPr>
        <w:spacing w:line="360" w:lineRule="auto"/>
        <w:ind w:firstLine="420"/>
        <w:rPr>
          <w:rFonts w:hint="eastAsia" w:ascii="宋体" w:hAnsi="宋体" w:eastAsia="宋体"/>
          <w:szCs w:val="24"/>
        </w:rPr>
      </w:pPr>
      <w:r>
        <w:rPr>
          <w:rFonts w:hint="eastAsia" w:ascii="宋体" w:hAnsi="宋体" w:eastAsia="宋体"/>
          <w:szCs w:val="24"/>
        </w:rPr>
        <w:t>特此声明！</w:t>
      </w:r>
    </w:p>
    <w:p>
      <w:pPr>
        <w:autoSpaceDE w:val="0"/>
        <w:autoSpaceDN w:val="0"/>
        <w:adjustRightInd w:val="0"/>
        <w:spacing w:line="360" w:lineRule="auto"/>
        <w:ind w:firstLine="413" w:firstLineChars="196"/>
        <w:rPr>
          <w:rFonts w:hint="eastAsia" w:ascii="宋体" w:hAnsi="宋体" w:eastAsia="宋体"/>
          <w:b/>
        </w:rPr>
      </w:pPr>
      <w:r>
        <w:rPr>
          <w:rFonts w:hint="eastAsia" w:ascii="宋体" w:hAnsi="宋体" w:eastAsia="宋体"/>
          <w:b/>
        </w:rPr>
        <w:t>备注：</w:t>
      </w:r>
    </w:p>
    <w:p>
      <w:pPr>
        <w:pStyle w:val="28"/>
        <w:numPr>
          <w:ilvl w:val="0"/>
          <w:numId w:val="16"/>
        </w:numPr>
        <w:autoSpaceDE w:val="0"/>
        <w:autoSpaceDN w:val="0"/>
        <w:adjustRightInd w:val="0"/>
        <w:spacing w:line="360" w:lineRule="auto"/>
        <w:ind w:firstLineChars="0"/>
        <w:rPr>
          <w:rFonts w:hint="eastAsia" w:ascii="宋体" w:hAnsi="宋体" w:eastAsia="宋体"/>
        </w:rPr>
      </w:pPr>
      <w:r>
        <w:rPr>
          <w:rFonts w:hint="eastAsia" w:ascii="宋体" w:hAnsi="宋体" w:eastAsia="宋体"/>
        </w:rPr>
        <w:t>本声明函必须提供且内容不得擅自删改，否则视为响应无效。</w:t>
      </w:r>
    </w:p>
    <w:p>
      <w:pPr>
        <w:pStyle w:val="28"/>
        <w:numPr>
          <w:ilvl w:val="0"/>
          <w:numId w:val="16"/>
        </w:numPr>
        <w:snapToGrid w:val="0"/>
        <w:spacing w:line="360" w:lineRule="auto"/>
        <w:ind w:firstLineChars="0"/>
        <w:rPr>
          <w:rFonts w:hint="eastAsia" w:ascii="宋体" w:hAnsi="宋体" w:eastAsia="宋体"/>
          <w:szCs w:val="21"/>
        </w:rPr>
      </w:pPr>
      <w:r>
        <w:rPr>
          <w:rFonts w:hint="eastAsia" w:ascii="宋体" w:hAnsi="宋体" w:eastAsia="宋体"/>
          <w:szCs w:val="21"/>
        </w:rPr>
        <w:t>本声明函如有虚假或与事实不符的，作无效报价处理。</w:t>
      </w:r>
    </w:p>
    <w:p>
      <w:pPr>
        <w:widowControl/>
        <w:spacing w:line="360" w:lineRule="auto"/>
        <w:ind w:left="840"/>
        <w:jc w:val="left"/>
        <w:rPr>
          <w:rFonts w:hint="eastAsia" w:ascii="宋体" w:hAnsi="宋体" w:eastAsia="宋体"/>
          <w:b/>
          <w:bCs/>
          <w:kern w:val="0"/>
          <w:sz w:val="32"/>
          <w:szCs w:val="32"/>
        </w:rPr>
      </w:pPr>
    </w:p>
    <w:p>
      <w:pPr>
        <w:pStyle w:val="28"/>
        <w:wordWrap w:val="0"/>
        <w:spacing w:line="360" w:lineRule="auto"/>
        <w:ind w:left="1200" w:right="218" w:firstLine="0" w:firstLineChars="0"/>
        <w:jc w:val="right"/>
        <w:rPr>
          <w:rFonts w:hint="eastAsia" w:ascii="宋体" w:hAnsi="宋体" w:eastAsia="宋体"/>
          <w:szCs w:val="21"/>
          <w:u w:val="single"/>
        </w:rPr>
      </w:pPr>
      <w:r>
        <w:rPr>
          <w:rFonts w:hint="eastAsia" w:ascii="宋体" w:hAnsi="宋体" w:eastAsia="宋体"/>
          <w:spacing w:val="4"/>
          <w:szCs w:val="21"/>
        </w:rPr>
        <w:t>供应商名称（</w:t>
      </w:r>
      <w:r>
        <w:rPr>
          <w:rFonts w:hint="eastAsia" w:ascii="宋体" w:hAnsi="宋体" w:eastAsia="宋体"/>
          <w:szCs w:val="21"/>
        </w:rPr>
        <w:t>单位盖</w:t>
      </w:r>
      <w:r>
        <w:rPr>
          <w:rFonts w:hint="eastAsia" w:ascii="宋体" w:hAnsi="宋体" w:eastAsia="宋体"/>
          <w:spacing w:val="4"/>
          <w:szCs w:val="21"/>
        </w:rPr>
        <w:t>公章）：</w:t>
      </w:r>
      <w:r>
        <w:rPr>
          <w:rFonts w:hint="eastAsia" w:ascii="宋体" w:hAnsi="宋体" w:eastAsia="宋体"/>
          <w:spacing w:val="4"/>
          <w:szCs w:val="21"/>
          <w:u w:val="single"/>
        </w:rPr>
        <w:t xml:space="preserve">          </w:t>
      </w:r>
    </w:p>
    <w:p>
      <w:pPr>
        <w:pStyle w:val="28"/>
        <w:spacing w:line="360" w:lineRule="auto"/>
        <w:ind w:left="1200" w:right="210" w:firstLine="0" w:firstLineChars="0"/>
        <w:jc w:val="right"/>
        <w:rPr>
          <w:rFonts w:hint="eastAsia" w:ascii="宋体" w:hAnsi="宋体" w:eastAsia="宋体"/>
          <w:szCs w:val="21"/>
          <w:u w:val="single"/>
        </w:rPr>
      </w:pPr>
    </w:p>
    <w:p>
      <w:pPr>
        <w:wordWrap w:val="0"/>
        <w:spacing w:line="360" w:lineRule="auto"/>
        <w:ind w:left="840" w:right="218"/>
        <w:jc w:val="right"/>
        <w:rPr>
          <w:rFonts w:hint="eastAsia" w:ascii="宋体" w:hAnsi="宋体" w:eastAsia="宋体"/>
          <w:spacing w:val="4"/>
          <w:szCs w:val="21"/>
          <w:u w:val="single"/>
        </w:rPr>
      </w:pPr>
      <w:r>
        <w:rPr>
          <w:rFonts w:hint="eastAsia" w:ascii="宋体" w:hAnsi="宋体" w:eastAsia="宋体"/>
          <w:spacing w:val="4"/>
          <w:szCs w:val="21"/>
        </w:rPr>
        <w:t>日期：</w:t>
      </w:r>
      <w:r>
        <w:rPr>
          <w:rFonts w:hint="eastAsia" w:ascii="宋体" w:hAnsi="宋体" w:eastAsia="宋体"/>
          <w:spacing w:val="4"/>
          <w:szCs w:val="21"/>
          <w:u w:val="single"/>
        </w:rPr>
        <w:t xml:space="preserve">          </w:t>
      </w:r>
    </w:p>
    <w:p/>
    <w:p>
      <w:pPr>
        <w:pStyle w:val="2"/>
      </w:pPr>
      <w:r>
        <w:br w:type="page"/>
      </w:r>
    </w:p>
    <w:p>
      <w:pPr>
        <w:pStyle w:val="5"/>
        <w:adjustRightInd w:val="0"/>
        <w:snapToGrid w:val="0"/>
        <w:spacing w:before="0" w:after="0" w:line="360" w:lineRule="auto"/>
        <w:jc w:val="center"/>
        <w:rPr>
          <w:rFonts w:hint="eastAsia" w:ascii="宋体" w:hAnsi="宋体"/>
        </w:rPr>
      </w:pPr>
      <w:r>
        <w:rPr>
          <w:rFonts w:hint="eastAsia" w:ascii="宋体" w:hAnsi="宋体"/>
        </w:rPr>
        <w:t>承诺函</w:t>
      </w:r>
    </w:p>
    <w:p>
      <w:pPr>
        <w:rPr>
          <w:rFonts w:hint="eastAsia" w:ascii="宋体" w:hAnsi="宋体"/>
          <w:b/>
          <w:szCs w:val="21"/>
        </w:rPr>
      </w:pPr>
      <w:r>
        <w:rPr>
          <w:rFonts w:hint="eastAsia" w:ascii="宋体" w:hAnsi="宋体"/>
          <w:b/>
          <w:szCs w:val="21"/>
        </w:rPr>
        <w:t>致：</w:t>
      </w:r>
      <w:r>
        <w:rPr>
          <w:rFonts w:hint="eastAsia" w:ascii="宋体" w:hAnsi="宋体" w:eastAsia="宋体"/>
          <w:b/>
          <w:szCs w:val="21"/>
        </w:rPr>
        <w:t>广东省从化监狱</w:t>
      </w:r>
      <w:r>
        <w:rPr>
          <w:rFonts w:hint="eastAsia" w:ascii="Times New Roman" w:hAnsi="Times New Roman"/>
          <w:b/>
          <w:szCs w:val="24"/>
        </w:rPr>
        <w:t>、</w:t>
      </w:r>
      <w:r>
        <w:rPr>
          <w:rFonts w:hint="eastAsia"/>
          <w:b/>
        </w:rPr>
        <w:t>采联国际招标采购集团有限公司</w:t>
      </w:r>
      <w:r>
        <w:rPr>
          <w:rFonts w:hint="eastAsia" w:ascii="宋体" w:hAnsi="宋体"/>
          <w:b/>
          <w:szCs w:val="21"/>
        </w:rPr>
        <w:t>：</w:t>
      </w:r>
    </w:p>
    <w:p>
      <w:pPr>
        <w:snapToGrid w:val="0"/>
        <w:spacing w:line="360" w:lineRule="auto"/>
        <w:rPr>
          <w:rFonts w:hint="eastAsia" w:ascii="宋体" w:hAnsi="宋体"/>
          <w:szCs w:val="21"/>
        </w:rPr>
      </w:pPr>
    </w:p>
    <w:p>
      <w:pPr>
        <w:snapToGrid w:val="0"/>
        <w:spacing w:line="360" w:lineRule="auto"/>
        <w:ind w:firstLine="420" w:firstLineChars="200"/>
        <w:rPr>
          <w:rFonts w:hint="eastAsia" w:ascii="宋体" w:hAnsi="宋体"/>
          <w:szCs w:val="21"/>
        </w:rPr>
      </w:pPr>
      <w:r>
        <w:rPr>
          <w:rFonts w:hint="eastAsia" w:ascii="宋体" w:hAnsi="宋体"/>
          <w:szCs w:val="21"/>
        </w:rPr>
        <w:t xml:space="preserve">关于贵单位、贵司发布 </w:t>
      </w:r>
      <w:r>
        <w:rPr>
          <w:rFonts w:hint="eastAsia" w:ascii="宋体" w:hAnsi="宋体"/>
          <w:b/>
          <w:szCs w:val="21"/>
          <w:u w:val="single"/>
        </w:rPr>
        <w:t>广东省从化监狱狱内文体馆灯光、幕布等物品采购项目</w:t>
      </w:r>
      <w:r>
        <w:rPr>
          <w:rFonts w:hint="eastAsia" w:ascii="宋体" w:hAnsi="宋体"/>
          <w:szCs w:val="21"/>
        </w:rPr>
        <w:t>的竞价公告，本公司（企业）愿意参加竞价活动，并作出如下承诺：</w:t>
      </w:r>
    </w:p>
    <w:p>
      <w:pPr>
        <w:snapToGrid w:val="0"/>
        <w:spacing w:line="360" w:lineRule="auto"/>
        <w:ind w:firstLine="420" w:firstLineChars="200"/>
        <w:rPr>
          <w:rFonts w:hint="eastAsia" w:ascii="宋体" w:hAnsi="宋体"/>
          <w:szCs w:val="21"/>
        </w:rPr>
      </w:pPr>
      <w:r>
        <w:rPr>
          <w:rFonts w:hint="eastAsia" w:ascii="宋体" w:hAnsi="宋体"/>
          <w:szCs w:val="21"/>
        </w:rPr>
        <w:t>本公司（企业）与采购人签约时，提供拟派本项目的设备安装人员购买意外险保险证明。</w:t>
      </w:r>
    </w:p>
    <w:p>
      <w:pPr>
        <w:snapToGrid w:val="0"/>
        <w:spacing w:line="360" w:lineRule="auto"/>
        <w:ind w:firstLine="420" w:firstLineChars="200"/>
        <w:rPr>
          <w:rFonts w:hint="eastAsia" w:ascii="宋体" w:hAnsi="宋体"/>
          <w:szCs w:val="21"/>
        </w:rPr>
      </w:pPr>
      <w:r>
        <w:rPr>
          <w:rFonts w:hint="eastAsia" w:ascii="宋体" w:hAnsi="宋体"/>
          <w:szCs w:val="21"/>
        </w:rPr>
        <w:t>否则，由此所造成的损失、不良后果及法律责任，一律由我公司（企业）承担。</w:t>
      </w:r>
    </w:p>
    <w:p>
      <w:pPr>
        <w:pStyle w:val="2"/>
      </w:pPr>
    </w:p>
    <w:p>
      <w:pPr>
        <w:pStyle w:val="28"/>
        <w:wordWrap w:val="0"/>
        <w:spacing w:line="360" w:lineRule="auto"/>
        <w:ind w:left="1200" w:right="218" w:firstLine="0" w:firstLineChars="0"/>
        <w:jc w:val="right"/>
        <w:rPr>
          <w:rFonts w:hint="eastAsia"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pStyle w:val="28"/>
        <w:spacing w:line="360" w:lineRule="auto"/>
        <w:ind w:left="1200" w:right="210" w:firstLine="0" w:firstLineChars="0"/>
        <w:jc w:val="right"/>
        <w:rPr>
          <w:rFonts w:hint="eastAsia" w:ascii="宋体" w:hAnsi="宋体"/>
          <w:szCs w:val="21"/>
          <w:u w:val="single"/>
        </w:rPr>
      </w:pPr>
    </w:p>
    <w:p>
      <w:pPr>
        <w:wordWrap w:val="0"/>
        <w:spacing w:line="360" w:lineRule="auto"/>
        <w:ind w:left="840" w:right="218"/>
        <w:jc w:val="right"/>
        <w:rPr>
          <w:rFonts w:hint="eastAsia" w:ascii="宋体" w:hAnsi="宋体"/>
          <w:spacing w:val="4"/>
          <w:szCs w:val="21"/>
          <w:u w:val="single"/>
        </w:rPr>
      </w:pPr>
      <w:r>
        <w:rPr>
          <w:rFonts w:hint="eastAsia" w:ascii="宋体" w:hAnsi="宋体"/>
          <w:spacing w:val="4"/>
          <w:szCs w:val="21"/>
        </w:rPr>
        <w:t>日期：</w:t>
      </w:r>
      <w:r>
        <w:rPr>
          <w:rFonts w:hint="eastAsia" w:ascii="宋体" w:hAnsi="宋体"/>
          <w:spacing w:val="4"/>
          <w:szCs w:val="21"/>
          <w:u w:val="single"/>
        </w:rPr>
        <w:t xml:space="preserve">          </w:t>
      </w:r>
    </w:p>
    <w:p>
      <w:pPr>
        <w:pStyle w:val="3"/>
        <w:ind w:firstLine="211"/>
      </w:pPr>
    </w:p>
    <w:p>
      <w:pPr>
        <w:pStyle w:val="3"/>
        <w:ind w:firstLine="0" w:firstLineChars="0"/>
        <w:rPr>
          <w:i w:val="0"/>
          <w:iCs w:val="0"/>
        </w:rPr>
      </w:pPr>
      <w:r>
        <w:rPr>
          <w:i w:val="0"/>
          <w:iCs w:val="0"/>
        </w:rPr>
        <w:br w:type="page"/>
      </w:r>
    </w:p>
    <w:p>
      <w:pPr>
        <w:pStyle w:val="4"/>
        <w:spacing w:before="0" w:after="0" w:line="240" w:lineRule="auto"/>
        <w:jc w:val="center"/>
        <w:rPr>
          <w:rFonts w:hint="eastAsia" w:ascii="宋体" w:hAnsi="宋体"/>
          <w:b w:val="0"/>
          <w:bCs w:val="0"/>
          <w:color w:val="000000"/>
          <w:sz w:val="52"/>
          <w:szCs w:val="52"/>
        </w:rPr>
      </w:pPr>
      <w:r>
        <w:rPr>
          <w:rFonts w:hint="eastAsia" w:ascii="宋体" w:hAnsi="宋体"/>
          <w:color w:val="000000"/>
          <w:sz w:val="52"/>
          <w:szCs w:val="52"/>
        </w:rPr>
        <w:t>广东省从化监狱狱内文体馆灯光、幕布等物品采购项目合同</w:t>
      </w:r>
    </w:p>
    <w:p>
      <w:pPr>
        <w:spacing w:line="360" w:lineRule="auto"/>
        <w:ind w:firstLine="5088" w:firstLineChars="1811"/>
        <w:rPr>
          <w:rFonts w:hint="eastAsia" w:ascii="宋体" w:hAnsi="宋体"/>
          <w:b/>
          <w:spacing w:val="20"/>
          <w:sz w:val="24"/>
        </w:rPr>
      </w:pPr>
    </w:p>
    <w:p>
      <w:pPr>
        <w:spacing w:line="360" w:lineRule="auto"/>
        <w:rPr>
          <w:rFonts w:hint="eastAsia" w:asciiTheme="minorEastAsia" w:hAnsiTheme="minorEastAsia"/>
          <w:b/>
          <w:spacing w:val="20"/>
          <w:sz w:val="24"/>
          <w:szCs w:val="24"/>
        </w:rPr>
      </w:pPr>
      <w:r>
        <w:rPr>
          <w:rFonts w:hint="eastAsia" w:asciiTheme="minorEastAsia" w:hAnsiTheme="minorEastAsia"/>
          <w:b/>
          <w:sz w:val="24"/>
          <w:szCs w:val="24"/>
        </w:rPr>
        <w:t>需方(以下简称甲方)：</w:t>
      </w:r>
      <w:r>
        <w:rPr>
          <w:rFonts w:cs="Helvetica" w:asciiTheme="minorEastAsia" w:hAnsiTheme="minorEastAsia"/>
          <w:b/>
          <w:bCs/>
          <w:color w:val="333333"/>
          <w:sz w:val="24"/>
          <w:szCs w:val="24"/>
          <w:shd w:val="clear" w:color="auto" w:fill="FFFFFF"/>
        </w:rPr>
        <w:t>广东省从化监狱</w:t>
      </w:r>
      <w:r>
        <w:rPr>
          <w:rFonts w:hint="eastAsia" w:asciiTheme="minorEastAsia" w:hAnsiTheme="minorEastAsia"/>
          <w:b/>
          <w:bCs/>
          <w:sz w:val="24"/>
          <w:szCs w:val="24"/>
        </w:rPr>
        <w:t xml:space="preserve">           </w:t>
      </w:r>
    </w:p>
    <w:p>
      <w:pPr>
        <w:spacing w:line="360" w:lineRule="auto"/>
        <w:rPr>
          <w:rFonts w:hint="eastAsia" w:asciiTheme="minorEastAsia" w:hAnsiTheme="minorEastAsia"/>
          <w:b/>
          <w:sz w:val="24"/>
          <w:szCs w:val="24"/>
        </w:rPr>
      </w:pPr>
      <w:r>
        <w:rPr>
          <w:rFonts w:hint="eastAsia" w:asciiTheme="minorEastAsia" w:hAnsiTheme="minorEastAsia"/>
          <w:b/>
          <w:sz w:val="24"/>
          <w:szCs w:val="24"/>
        </w:rPr>
        <w:t xml:space="preserve">供方(以下简称乙方): </w:t>
      </w:r>
      <w:r>
        <w:rPr>
          <w:rFonts w:hint="eastAsia" w:asciiTheme="minorEastAsia" w:hAnsiTheme="minorEastAsia"/>
          <w:b/>
          <w:bCs/>
          <w:sz w:val="24"/>
          <w:szCs w:val="24"/>
        </w:rPr>
        <w:t xml:space="preserve">  </w:t>
      </w:r>
      <w:r>
        <w:rPr>
          <w:rFonts w:hint="eastAsia" w:asciiTheme="minorEastAsia" w:hAnsiTheme="minorEastAsia"/>
          <w:b/>
          <w:sz w:val="24"/>
          <w:szCs w:val="24"/>
        </w:rPr>
        <w:t xml:space="preserve">     </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根据相关法律、法规的规定，在平等、自愿和诚实信用的基础上，经甲、乙双方友好协商，就甲方购买乙方</w:t>
      </w:r>
      <w:r>
        <w:rPr>
          <w:rFonts w:hint="eastAsia" w:asciiTheme="minorEastAsia" w:hAnsiTheme="minorEastAsia"/>
          <w:sz w:val="24"/>
          <w:szCs w:val="24"/>
          <w:u w:val="single"/>
        </w:rPr>
        <w:t>广东省从化监狱狱内文体馆灯光、幕布等物品采购项目</w:t>
      </w:r>
      <w:r>
        <w:rPr>
          <w:rFonts w:hint="eastAsia" w:asciiTheme="minorEastAsia" w:hAnsiTheme="minorEastAsia"/>
          <w:sz w:val="24"/>
          <w:szCs w:val="24"/>
        </w:rPr>
        <w:t>事宜达成如下条款：</w:t>
      </w:r>
    </w:p>
    <w:p>
      <w:pPr>
        <w:pStyle w:val="28"/>
        <w:numPr>
          <w:ilvl w:val="0"/>
          <w:numId w:val="17"/>
        </w:numPr>
        <w:snapToGrid w:val="0"/>
        <w:spacing w:line="360" w:lineRule="auto"/>
        <w:ind w:firstLineChars="0"/>
        <w:rPr>
          <w:rFonts w:hint="eastAsia" w:asciiTheme="minorEastAsia" w:hAnsiTheme="minorEastAsia"/>
          <w:b/>
          <w:bCs/>
          <w:sz w:val="24"/>
          <w:szCs w:val="24"/>
        </w:rPr>
      </w:pPr>
      <w:r>
        <w:rPr>
          <w:rFonts w:hint="eastAsia" w:asciiTheme="minorEastAsia" w:hAnsiTheme="minorEastAsia"/>
          <w:b/>
          <w:bCs/>
          <w:sz w:val="24"/>
          <w:szCs w:val="24"/>
        </w:rPr>
        <w:t>项目一览表</w:t>
      </w:r>
    </w:p>
    <w:tbl>
      <w:tblPr>
        <w:tblStyle w:val="24"/>
        <w:tblW w:w="1020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3387"/>
        <w:gridCol w:w="1276"/>
        <w:gridCol w:w="3119"/>
        <w:gridCol w:w="242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676" w:hRule="atLeast"/>
          <w:jc w:val="center"/>
        </w:trPr>
        <w:tc>
          <w:tcPr>
            <w:tcW w:w="3387" w:type="dxa"/>
            <w:shd w:val="clear" w:color="auto" w:fill="EEECE1"/>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t>项目名称</w:t>
            </w:r>
          </w:p>
        </w:tc>
        <w:tc>
          <w:tcPr>
            <w:tcW w:w="1276" w:type="dxa"/>
            <w:shd w:val="clear" w:color="auto" w:fill="EEECE1"/>
            <w:vAlign w:val="center"/>
          </w:tcPr>
          <w:p>
            <w:pPr>
              <w:jc w:val="center"/>
              <w:rPr>
                <w:rFonts w:hint="eastAsia" w:cs="宋体" w:asciiTheme="minorEastAsia" w:hAnsiTheme="minorEastAsia"/>
                <w:b/>
                <w:sz w:val="24"/>
                <w:szCs w:val="24"/>
              </w:rPr>
            </w:pPr>
            <w:r>
              <w:rPr>
                <w:rFonts w:hint="eastAsia" w:cs="宋体" w:asciiTheme="minorEastAsia" w:hAnsiTheme="minorEastAsia"/>
                <w:b/>
                <w:sz w:val="24"/>
                <w:szCs w:val="24"/>
              </w:rPr>
              <w:t>数量</w:t>
            </w:r>
          </w:p>
        </w:tc>
        <w:tc>
          <w:tcPr>
            <w:tcW w:w="3119" w:type="dxa"/>
            <w:shd w:val="clear" w:color="auto" w:fill="EEECE1"/>
            <w:vAlign w:val="center"/>
          </w:tcPr>
          <w:p>
            <w:pPr>
              <w:jc w:val="center"/>
              <w:rPr>
                <w:rFonts w:hint="eastAsia" w:cs="宋体" w:asciiTheme="minorEastAsia" w:hAnsiTheme="minorEastAsia"/>
                <w:b/>
                <w:color w:val="FF0000"/>
                <w:sz w:val="24"/>
                <w:szCs w:val="24"/>
              </w:rPr>
            </w:pPr>
            <w:r>
              <w:rPr>
                <w:rFonts w:hint="eastAsia" w:cs="宋体" w:asciiTheme="minorEastAsia" w:hAnsiTheme="minorEastAsia"/>
                <w:b/>
                <w:sz w:val="24"/>
                <w:szCs w:val="24"/>
              </w:rPr>
              <w:t>交付的期限</w:t>
            </w:r>
          </w:p>
        </w:tc>
        <w:tc>
          <w:tcPr>
            <w:tcW w:w="2424" w:type="dxa"/>
            <w:shd w:val="clear" w:color="auto" w:fill="EEECE1"/>
            <w:vAlign w:val="center"/>
          </w:tcPr>
          <w:p>
            <w:pPr>
              <w:jc w:val="center"/>
              <w:rPr>
                <w:rFonts w:hint="eastAsia" w:cs="宋体" w:asciiTheme="minorEastAsia" w:hAnsiTheme="minorEastAsia"/>
                <w:sz w:val="24"/>
                <w:szCs w:val="24"/>
              </w:rPr>
            </w:pPr>
            <w:r>
              <w:rPr>
                <w:rFonts w:hint="eastAsia" w:cs="宋体" w:asciiTheme="minorEastAsia" w:hAnsiTheme="minorEastAsia"/>
                <w:b/>
                <w:sz w:val="24"/>
                <w:szCs w:val="24"/>
              </w:rPr>
              <w:t>合同金额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1123" w:hRule="atLeast"/>
          <w:jc w:val="center"/>
        </w:trPr>
        <w:tc>
          <w:tcPr>
            <w:tcW w:w="3387" w:type="dxa"/>
            <w:vAlign w:val="center"/>
          </w:tcPr>
          <w:p>
            <w:pPr>
              <w:jc w:val="center"/>
              <w:rPr>
                <w:rFonts w:hint="eastAsia" w:cs="宋体" w:asciiTheme="minorEastAsia" w:hAnsiTheme="minorEastAsia"/>
                <w:sz w:val="24"/>
                <w:szCs w:val="24"/>
              </w:rPr>
            </w:pPr>
            <w:r>
              <w:rPr>
                <w:rFonts w:hint="eastAsia" w:cs="宋体" w:asciiTheme="minorEastAsia" w:hAnsiTheme="minorEastAsia"/>
                <w:sz w:val="24"/>
                <w:szCs w:val="24"/>
              </w:rPr>
              <w:t>广东省从化监狱狱内文体馆灯光、幕布等物品采购项目</w:t>
            </w:r>
          </w:p>
        </w:tc>
        <w:tc>
          <w:tcPr>
            <w:tcW w:w="1276" w:type="dxa"/>
            <w:vAlign w:val="center"/>
          </w:tcPr>
          <w:p>
            <w:pPr>
              <w:jc w:val="center"/>
              <w:rPr>
                <w:rFonts w:hint="eastAsia" w:cs="宋体" w:asciiTheme="minorEastAsia" w:hAnsiTheme="minorEastAsia"/>
                <w:bCs/>
                <w:sz w:val="24"/>
                <w:szCs w:val="24"/>
              </w:rPr>
            </w:pPr>
            <w:r>
              <w:rPr>
                <w:rFonts w:hint="eastAsia" w:cs="宋体" w:asciiTheme="minorEastAsia" w:hAnsiTheme="minorEastAsia"/>
                <w:bCs/>
                <w:sz w:val="24"/>
                <w:szCs w:val="24"/>
              </w:rPr>
              <w:t>1批</w:t>
            </w:r>
          </w:p>
        </w:tc>
        <w:tc>
          <w:tcPr>
            <w:tcW w:w="3119" w:type="dxa"/>
            <w:vAlign w:val="center"/>
          </w:tcPr>
          <w:p>
            <w:pPr>
              <w:jc w:val="center"/>
              <w:rPr>
                <w:rFonts w:hint="eastAsia" w:cs="宋体" w:asciiTheme="minorEastAsia" w:hAnsiTheme="minorEastAsia"/>
                <w:color w:val="FF0000"/>
                <w:sz w:val="24"/>
                <w:szCs w:val="24"/>
              </w:rPr>
            </w:pPr>
            <w:r>
              <w:rPr>
                <w:rFonts w:hint="eastAsia" w:cs="宋体" w:asciiTheme="minorEastAsia" w:hAnsiTheme="minorEastAsia"/>
                <w:sz w:val="24"/>
                <w:szCs w:val="24"/>
              </w:rPr>
              <w:t>合同签订后30个自然日完成设备安装调试并通过验收交付使用</w:t>
            </w:r>
          </w:p>
        </w:tc>
        <w:tc>
          <w:tcPr>
            <w:tcW w:w="2424" w:type="dxa"/>
            <w:vAlign w:val="center"/>
          </w:tcPr>
          <w:p>
            <w:pPr>
              <w:jc w:val="center"/>
              <w:rPr>
                <w:rFonts w:hint="eastAsia" w:asciiTheme="minorEastAsia" w:hAnsiTheme="minorEastAsia"/>
                <w:sz w:val="24"/>
                <w:szCs w:val="24"/>
              </w:rPr>
            </w:pPr>
            <w:r>
              <w:rPr>
                <w:rFonts w:hint="eastAsia" w:cs="宋体" w:asciiTheme="minorEastAsia" w:hAnsiTheme="minorEastAsia"/>
                <w:sz w:val="24"/>
                <w:szCs w:val="24"/>
              </w:rPr>
              <w:t>人民币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元</w:t>
            </w:r>
          </w:p>
        </w:tc>
      </w:tr>
    </w:tbl>
    <w:p>
      <w:pPr>
        <w:pStyle w:val="28"/>
        <w:numPr>
          <w:ilvl w:val="0"/>
          <w:numId w:val="17"/>
        </w:numPr>
        <w:snapToGrid w:val="0"/>
        <w:spacing w:line="360" w:lineRule="auto"/>
        <w:ind w:firstLineChars="0"/>
        <w:rPr>
          <w:rFonts w:hint="eastAsia" w:asciiTheme="minorEastAsia" w:hAnsiTheme="minorEastAsia"/>
          <w:b/>
          <w:bCs/>
          <w:sz w:val="24"/>
          <w:szCs w:val="24"/>
        </w:rPr>
      </w:pPr>
      <w:r>
        <w:rPr>
          <w:rFonts w:hint="eastAsia" w:asciiTheme="minorEastAsia" w:hAnsiTheme="minorEastAsia"/>
          <w:b/>
          <w:bCs/>
          <w:sz w:val="24"/>
          <w:szCs w:val="24"/>
        </w:rPr>
        <w:t>项目概况</w:t>
      </w:r>
    </w:p>
    <w:p>
      <w:pPr>
        <w:pStyle w:val="28"/>
        <w:snapToGrid w:val="0"/>
        <w:spacing w:line="360" w:lineRule="auto"/>
        <w:ind w:firstLine="480"/>
        <w:rPr>
          <w:rFonts w:hint="eastAsia" w:cs="宋体" w:asciiTheme="minorEastAsia" w:hAnsiTheme="minorEastAsia"/>
          <w:sz w:val="24"/>
          <w:szCs w:val="24"/>
        </w:rPr>
      </w:pPr>
      <w:r>
        <w:rPr>
          <w:rFonts w:hint="eastAsia" w:cs="宋体" w:asciiTheme="minorEastAsia" w:hAnsiTheme="minorEastAsia"/>
          <w:sz w:val="24"/>
          <w:szCs w:val="24"/>
        </w:rPr>
        <w:t>（一）项目名称：广东省从化监狱狱内文体馆灯光、幕布等物品采购项目。</w:t>
      </w:r>
    </w:p>
    <w:p>
      <w:pPr>
        <w:pStyle w:val="28"/>
        <w:snapToGrid w:val="0"/>
        <w:spacing w:line="360" w:lineRule="auto"/>
        <w:ind w:firstLine="480"/>
        <w:rPr>
          <w:rFonts w:hint="eastAsia" w:asciiTheme="minorEastAsia" w:hAnsiTheme="minorEastAsia"/>
          <w:b/>
          <w:bCs/>
          <w:sz w:val="24"/>
          <w:szCs w:val="24"/>
        </w:rPr>
      </w:pPr>
      <w:r>
        <w:rPr>
          <w:rFonts w:hint="eastAsia" w:cs="宋体" w:asciiTheme="minorEastAsia" w:hAnsiTheme="minorEastAsia"/>
          <w:sz w:val="24"/>
          <w:szCs w:val="24"/>
        </w:rPr>
        <w:t>（二）项目要求：乙方按甲方</w:t>
      </w:r>
      <w:r>
        <w:rPr>
          <w:rFonts w:cs="宋体" w:asciiTheme="minorEastAsia" w:hAnsiTheme="minorEastAsia"/>
          <w:sz w:val="24"/>
          <w:szCs w:val="24"/>
        </w:rPr>
        <w:t>需求</w:t>
      </w:r>
      <w:r>
        <w:rPr>
          <w:rFonts w:hint="eastAsia" w:cs="宋体" w:asciiTheme="minorEastAsia" w:hAnsiTheme="minorEastAsia"/>
          <w:sz w:val="24"/>
          <w:szCs w:val="24"/>
        </w:rPr>
        <w:t>整</w:t>
      </w:r>
      <w:r>
        <w:rPr>
          <w:rFonts w:cs="宋体" w:asciiTheme="minorEastAsia" w:hAnsiTheme="minorEastAsia"/>
          <w:sz w:val="24"/>
          <w:szCs w:val="24"/>
        </w:rPr>
        <w:t>批</w:t>
      </w:r>
      <w:r>
        <w:rPr>
          <w:rFonts w:hint="eastAsia" w:cs="宋体" w:asciiTheme="minorEastAsia" w:hAnsiTheme="minorEastAsia"/>
          <w:sz w:val="24"/>
          <w:szCs w:val="24"/>
        </w:rPr>
        <w:t>采购，根据现场实际情况安装并保障调试正常，包零配件、配送、安装、售后服务等项目相关内容。</w:t>
      </w:r>
    </w:p>
    <w:p>
      <w:pPr>
        <w:pStyle w:val="28"/>
        <w:numPr>
          <w:ilvl w:val="0"/>
          <w:numId w:val="17"/>
        </w:numPr>
        <w:snapToGrid w:val="0"/>
        <w:spacing w:line="360" w:lineRule="auto"/>
        <w:ind w:firstLineChars="0"/>
        <w:rPr>
          <w:rFonts w:hint="eastAsia" w:asciiTheme="minorEastAsia" w:hAnsiTheme="minorEastAsia"/>
          <w:b/>
          <w:color w:val="000000"/>
          <w:sz w:val="24"/>
          <w:szCs w:val="24"/>
        </w:rPr>
      </w:pPr>
      <w:r>
        <w:rPr>
          <w:rFonts w:hint="eastAsia" w:asciiTheme="minorEastAsia" w:hAnsiTheme="minorEastAsia"/>
          <w:b/>
          <w:bCs/>
          <w:sz w:val="24"/>
          <w:szCs w:val="24"/>
        </w:rPr>
        <w:t>合同</w:t>
      </w:r>
      <w:r>
        <w:rPr>
          <w:rFonts w:hint="eastAsia" w:cs="Times New Roman" w:asciiTheme="minorEastAsia" w:hAnsiTheme="minorEastAsia"/>
          <w:b/>
          <w:color w:val="000000"/>
          <w:sz w:val="24"/>
          <w:szCs w:val="24"/>
        </w:rPr>
        <w:t>金额要求</w:t>
      </w:r>
      <w:r>
        <w:rPr>
          <w:rFonts w:hint="eastAsia" w:cs="Times New Roman" w:asciiTheme="minorEastAsia" w:hAnsiTheme="minorEastAsia"/>
          <w:b/>
          <w:color w:val="000000"/>
          <w:sz w:val="24"/>
          <w:szCs w:val="24"/>
        </w:rPr>
        <w:tab/>
      </w:r>
    </w:p>
    <w:p>
      <w:pPr>
        <w:tabs>
          <w:tab w:val="left" w:pos="567"/>
        </w:tabs>
        <w:adjustRightInd w:val="0"/>
        <w:snapToGrid w:val="0"/>
        <w:spacing w:line="360" w:lineRule="auto"/>
        <w:ind w:firstLine="480" w:firstLineChars="200"/>
        <w:jc w:val="left"/>
        <w:textAlignment w:val="baseline"/>
        <w:rPr>
          <w:rFonts w:hint="eastAsia" w:cs="宋体" w:asciiTheme="minorEastAsia" w:hAnsiTheme="minorEastAsia"/>
          <w:sz w:val="24"/>
          <w:szCs w:val="24"/>
        </w:rPr>
      </w:pPr>
      <w:r>
        <w:rPr>
          <w:rFonts w:hint="eastAsia" w:cs="宋体" w:asciiTheme="minorEastAsia" w:hAnsiTheme="minorEastAsia"/>
          <w:sz w:val="24"/>
          <w:szCs w:val="24"/>
        </w:rPr>
        <w:t>合同总价包含产品价格、零配件、运输、装卸、安装、售后服务、保险、搬运、税金及其他与项目相关的所有费用。</w:t>
      </w:r>
    </w:p>
    <w:p>
      <w:pPr>
        <w:pStyle w:val="28"/>
        <w:numPr>
          <w:ilvl w:val="0"/>
          <w:numId w:val="17"/>
        </w:numPr>
        <w:snapToGrid w:val="0"/>
        <w:spacing w:line="360" w:lineRule="auto"/>
        <w:ind w:firstLineChars="0"/>
        <w:rPr>
          <w:rFonts w:hint="eastAsia" w:asciiTheme="minorEastAsia" w:hAnsiTheme="minorEastAsia"/>
          <w:b/>
          <w:color w:val="000000"/>
          <w:sz w:val="24"/>
          <w:szCs w:val="24"/>
        </w:rPr>
      </w:pPr>
      <w:r>
        <w:rPr>
          <w:rFonts w:hint="eastAsia" w:cs="Times New Roman" w:asciiTheme="minorEastAsia" w:hAnsiTheme="minorEastAsia"/>
          <w:b/>
          <w:color w:val="000000"/>
          <w:sz w:val="24"/>
          <w:szCs w:val="24"/>
        </w:rPr>
        <w:t>采购</w:t>
      </w:r>
      <w:r>
        <w:rPr>
          <w:rFonts w:hint="eastAsia" w:asciiTheme="minorEastAsia" w:hAnsiTheme="minorEastAsia"/>
          <w:b/>
          <w:bCs/>
          <w:sz w:val="24"/>
          <w:szCs w:val="24"/>
        </w:rPr>
        <w:t>清单</w:t>
      </w:r>
    </w:p>
    <w:tbl>
      <w:tblPr>
        <w:tblStyle w:val="24"/>
        <w:tblW w:w="10206" w:type="dxa"/>
        <w:jc w:val="center"/>
        <w:tblInd w:w="0" w:type="dxa"/>
        <w:tblLayout w:type="fixed"/>
        <w:tblCellMar>
          <w:top w:w="0" w:type="dxa"/>
          <w:left w:w="108" w:type="dxa"/>
          <w:bottom w:w="0" w:type="dxa"/>
          <w:right w:w="108" w:type="dxa"/>
        </w:tblCellMar>
      </w:tblPr>
      <w:tblGrid>
        <w:gridCol w:w="529"/>
        <w:gridCol w:w="765"/>
        <w:gridCol w:w="2534"/>
        <w:gridCol w:w="567"/>
        <w:gridCol w:w="709"/>
        <w:gridCol w:w="850"/>
        <w:gridCol w:w="993"/>
        <w:gridCol w:w="992"/>
        <w:gridCol w:w="850"/>
        <w:gridCol w:w="815"/>
        <w:gridCol w:w="602"/>
      </w:tblGrid>
      <w:tr>
        <w:tblPrEx>
          <w:tblLayout w:type="fixed"/>
          <w:tblCellMar>
            <w:top w:w="0" w:type="dxa"/>
            <w:left w:w="108" w:type="dxa"/>
            <w:bottom w:w="0" w:type="dxa"/>
            <w:right w:w="108" w:type="dxa"/>
          </w:tblCellMar>
        </w:tblPrEx>
        <w:trPr>
          <w:trHeight w:val="539" w:hRule="atLeast"/>
          <w:tblHeader/>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b/>
                <w:bCs/>
                <w:szCs w:val="21"/>
              </w:rPr>
            </w:pPr>
            <w:r>
              <w:rPr>
                <w:rFonts w:hint="eastAsia" w:cs="仿宋" w:asciiTheme="minorEastAsia" w:hAnsiTheme="minorEastAsia"/>
                <w:b/>
                <w:bCs/>
                <w:szCs w:val="21"/>
                <w:lang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b/>
                <w:bCs/>
                <w:szCs w:val="21"/>
              </w:rPr>
            </w:pPr>
            <w:r>
              <w:rPr>
                <w:rFonts w:hint="eastAsia" w:cs="仿宋" w:asciiTheme="minorEastAsia" w:hAnsiTheme="minorEastAsia"/>
                <w:b/>
                <w:bCs/>
                <w:szCs w:val="21"/>
                <w:lang w:bidi="ar"/>
              </w:rPr>
              <w:t>产品名称</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b/>
                <w:bCs/>
                <w:szCs w:val="21"/>
              </w:rPr>
            </w:pPr>
            <w:r>
              <w:rPr>
                <w:rFonts w:hint="eastAsia" w:cs="仿宋" w:asciiTheme="minorEastAsia" w:hAnsiTheme="minorEastAsia"/>
                <w:b/>
                <w:bCs/>
                <w:szCs w:val="21"/>
                <w:lang w:bidi="ar"/>
              </w:rPr>
              <w:t>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b/>
                <w:bCs/>
                <w:szCs w:val="21"/>
              </w:rPr>
            </w:pPr>
            <w:r>
              <w:rPr>
                <w:rFonts w:hint="eastAsia" w:cs="仿宋" w:asciiTheme="minorEastAsia" w:hAnsiTheme="minorEastAsia"/>
                <w:b/>
                <w:bCs/>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b/>
                <w:bCs/>
                <w:szCs w:val="21"/>
              </w:rPr>
            </w:pPr>
            <w:r>
              <w:rPr>
                <w:rFonts w:hint="eastAsia" w:cs="仿宋" w:asciiTheme="minorEastAsia" w:hAnsiTheme="minorEastAsia"/>
                <w:b/>
                <w:bCs/>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品牌</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型号</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参数响应情况</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结算单价（元）</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小计（元）</w:t>
            </w: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备注</w:t>
            </w:r>
          </w:p>
        </w:tc>
      </w:tr>
      <w:tr>
        <w:tblPrEx>
          <w:tblLayout w:type="fixed"/>
          <w:tblCellMar>
            <w:top w:w="0" w:type="dxa"/>
            <w:left w:w="108" w:type="dxa"/>
            <w:bottom w:w="0" w:type="dxa"/>
            <w:right w:w="108" w:type="dxa"/>
          </w:tblCellMar>
        </w:tblPrEx>
        <w:trPr>
          <w:trHeight w:val="717" w:hRule="atLeast"/>
          <w:jc w:val="center"/>
        </w:trPr>
        <w:tc>
          <w:tcPr>
            <w:tcW w:w="10206"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b/>
                <w:bCs/>
                <w:szCs w:val="21"/>
                <w:lang w:bidi="ar"/>
              </w:rPr>
              <w:t>一、灯光系统</w:t>
            </w:r>
          </w:p>
        </w:tc>
      </w:tr>
      <w:tr>
        <w:tblPrEx>
          <w:tblLayout w:type="fixed"/>
          <w:tblCellMar>
            <w:top w:w="0" w:type="dxa"/>
            <w:left w:w="108" w:type="dxa"/>
            <w:bottom w:w="0" w:type="dxa"/>
            <w:right w:w="108" w:type="dxa"/>
          </w:tblCellMar>
        </w:tblPrEx>
        <w:trPr>
          <w:trHeight w:val="31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LED影视平板灯</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1.输入电压：AC110-240V，50-60HZ</w:t>
            </w:r>
            <w:r>
              <w:rPr>
                <w:rFonts w:hint="eastAsia" w:cs="仿宋" w:asciiTheme="minorEastAsia" w:hAnsiTheme="minorEastAsia"/>
                <w:szCs w:val="21"/>
                <w:lang w:bidi="ar"/>
              </w:rPr>
              <w:br w:type="textWrapping"/>
            </w:r>
            <w:r>
              <w:rPr>
                <w:rFonts w:hint="eastAsia" w:cs="仿宋" w:asciiTheme="minorEastAsia" w:hAnsiTheme="minorEastAsia"/>
                <w:szCs w:val="21"/>
                <w:lang w:bidi="ar"/>
              </w:rPr>
              <w:t>2.额定功率：≥150W</w:t>
            </w:r>
            <w:r>
              <w:rPr>
                <w:rFonts w:hint="eastAsia" w:cs="仿宋" w:asciiTheme="minorEastAsia" w:hAnsiTheme="minorEastAsia"/>
                <w:szCs w:val="21"/>
                <w:lang w:bidi="ar"/>
              </w:rPr>
              <w:br w:type="textWrapping"/>
            </w:r>
            <w:r>
              <w:rPr>
                <w:rFonts w:hint="eastAsia" w:cs="仿宋" w:asciiTheme="minorEastAsia" w:hAnsiTheme="minorEastAsia"/>
                <w:szCs w:val="21"/>
                <w:lang w:bidi="ar"/>
              </w:rPr>
              <w:t>3.色温：3200K/5600K可选</w:t>
            </w:r>
            <w:r>
              <w:rPr>
                <w:rFonts w:hint="eastAsia" w:cs="仿宋" w:asciiTheme="minorEastAsia" w:hAnsiTheme="minorEastAsia"/>
                <w:szCs w:val="21"/>
                <w:lang w:bidi="ar"/>
              </w:rPr>
              <w:br w:type="textWrapping"/>
            </w:r>
            <w:r>
              <w:rPr>
                <w:rFonts w:hint="eastAsia" w:cs="仿宋" w:asciiTheme="minorEastAsia" w:hAnsiTheme="minorEastAsia"/>
                <w:szCs w:val="21"/>
                <w:lang w:bidi="ar"/>
              </w:rPr>
              <w:t>4.调光：0-100%无极调光，平滑无闪烁</w:t>
            </w:r>
            <w:r>
              <w:rPr>
                <w:rFonts w:hint="eastAsia" w:cs="仿宋" w:asciiTheme="minorEastAsia" w:hAnsiTheme="minorEastAsia"/>
                <w:szCs w:val="21"/>
                <w:lang w:bidi="ar"/>
              </w:rPr>
              <w:br w:type="textWrapping"/>
            </w:r>
            <w:r>
              <w:rPr>
                <w:rFonts w:hint="eastAsia" w:cs="仿宋" w:asciiTheme="minorEastAsia" w:hAnsiTheme="minorEastAsia"/>
                <w:szCs w:val="21"/>
                <w:lang w:bidi="ar"/>
              </w:rPr>
              <w:t>5.显色指数：Ra≥97</w:t>
            </w:r>
            <w:r>
              <w:rPr>
                <w:rFonts w:hint="eastAsia" w:cs="仿宋" w:asciiTheme="minorEastAsia" w:hAnsiTheme="minorEastAsia"/>
                <w:szCs w:val="21"/>
                <w:lang w:bidi="ar"/>
              </w:rPr>
              <w:br w:type="textWrapping"/>
            </w:r>
            <w:r>
              <w:rPr>
                <w:rFonts w:hint="eastAsia" w:cs="仿宋" w:asciiTheme="minorEastAsia" w:hAnsiTheme="minorEastAsia"/>
                <w:szCs w:val="21"/>
                <w:lang w:bidi="ar"/>
              </w:rPr>
              <w:t>6.光通量：≥9700 lm</w:t>
            </w:r>
            <w:r>
              <w:rPr>
                <w:rFonts w:hint="eastAsia" w:cs="仿宋" w:asciiTheme="minorEastAsia" w:hAnsiTheme="minorEastAsia"/>
                <w:szCs w:val="21"/>
                <w:lang w:bidi="ar"/>
              </w:rPr>
              <w:br w:type="textWrapping"/>
            </w:r>
            <w:r>
              <w:rPr>
                <w:rFonts w:hint="eastAsia" w:cs="仿宋" w:asciiTheme="minorEastAsia" w:hAnsiTheme="minorEastAsia"/>
                <w:szCs w:val="21"/>
                <w:lang w:bidi="ar"/>
              </w:rPr>
              <w:t>7.控制方式：①DMX512信号控制调光;②主机模式调光;③中控调光;④2.4G无线调光;</w:t>
            </w:r>
            <w:r>
              <w:rPr>
                <w:rFonts w:hint="eastAsia" w:cs="仿宋" w:asciiTheme="minorEastAsia" w:hAnsiTheme="minorEastAsia"/>
                <w:szCs w:val="21"/>
                <w:lang w:bidi="ar"/>
              </w:rPr>
              <w:br w:type="textWrapping"/>
            </w:r>
            <w:r>
              <w:rPr>
                <w:rFonts w:hint="eastAsia" w:cs="仿宋" w:asciiTheme="minorEastAsia" w:hAnsiTheme="minorEastAsia"/>
                <w:szCs w:val="21"/>
                <w:lang w:bidi="ar"/>
              </w:rPr>
              <w:t>8.透光率：≥90%</w:t>
            </w:r>
            <w:r>
              <w:rPr>
                <w:rFonts w:hint="eastAsia" w:cs="仿宋" w:asciiTheme="minorEastAsia" w:hAnsiTheme="minorEastAsia"/>
                <w:szCs w:val="21"/>
                <w:lang w:bidi="ar"/>
              </w:rPr>
              <w:br w:type="textWrapping"/>
            </w:r>
            <w:r>
              <w:rPr>
                <w:rFonts w:hint="eastAsia" w:cs="仿宋" w:asciiTheme="minorEastAsia" w:hAnsiTheme="minorEastAsia"/>
                <w:szCs w:val="21"/>
                <w:lang w:bidi="ar"/>
              </w:rPr>
              <w:t>9.透光镜莫氏硬度：≥8H</w:t>
            </w:r>
            <w:r>
              <w:rPr>
                <w:rFonts w:hint="eastAsia" w:cs="仿宋" w:asciiTheme="minorEastAsia" w:hAnsiTheme="minorEastAsia"/>
                <w:szCs w:val="21"/>
                <w:lang w:bidi="ar"/>
              </w:rPr>
              <w:br w:type="textWrapping"/>
            </w:r>
            <w:r>
              <w:rPr>
                <w:rFonts w:hint="eastAsia" w:cs="仿宋" w:asciiTheme="minorEastAsia" w:hAnsiTheme="minorEastAsia"/>
                <w:szCs w:val="21"/>
                <w:lang w:bidi="ar"/>
              </w:rPr>
              <w:t>10.散热：静音风扇，自然散热 ,压铸铝型材黑色外壳；</w:t>
            </w:r>
            <w:r>
              <w:rPr>
                <w:rFonts w:hint="eastAsia" w:cs="仿宋" w:asciiTheme="minorEastAsia" w:hAnsiTheme="minorEastAsia"/>
                <w:szCs w:val="21"/>
                <w:lang w:bidi="ar"/>
              </w:rPr>
              <w:br w:type="textWrapping"/>
            </w:r>
            <w:r>
              <w:rPr>
                <w:rFonts w:hint="eastAsia" w:cs="仿宋" w:asciiTheme="minorEastAsia" w:hAnsiTheme="minorEastAsia"/>
                <w:szCs w:val="21"/>
                <w:lang w:bidi="ar"/>
              </w:rPr>
              <w:t>温控保护：灯体温控保护；</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5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五色LED效果灯</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1.LED灯珠数≥60颗</w:t>
            </w:r>
            <w:r>
              <w:rPr>
                <w:rFonts w:hint="eastAsia" w:cs="仿宋" w:asciiTheme="minorEastAsia" w:hAnsiTheme="minorEastAsia"/>
                <w:szCs w:val="21"/>
                <w:lang w:bidi="ar"/>
              </w:rPr>
              <w:br w:type="textWrapping"/>
            </w:r>
            <w:r>
              <w:rPr>
                <w:rFonts w:hint="eastAsia" w:cs="仿宋" w:asciiTheme="minorEastAsia" w:hAnsiTheme="minorEastAsia"/>
                <w:szCs w:val="21"/>
                <w:lang w:bidi="ar"/>
              </w:rPr>
              <w:t>2.出光角度：15°，25°，45°高效光学透镜（出光角度可供选择）</w:t>
            </w:r>
            <w:r>
              <w:rPr>
                <w:rFonts w:hint="eastAsia" w:cs="仿宋" w:asciiTheme="minorEastAsia" w:hAnsiTheme="minorEastAsia"/>
                <w:szCs w:val="21"/>
                <w:lang w:bidi="ar"/>
              </w:rPr>
              <w:br w:type="textWrapping"/>
            </w:r>
            <w:r>
              <w:rPr>
                <w:rFonts w:hint="eastAsia" w:cs="仿宋" w:asciiTheme="minorEastAsia" w:hAnsiTheme="minorEastAsia"/>
                <w:szCs w:val="21"/>
                <w:lang w:bidi="ar"/>
              </w:rPr>
              <w:t>3.额定功率≥185W</w:t>
            </w:r>
            <w:r>
              <w:rPr>
                <w:rFonts w:hint="eastAsia" w:cs="仿宋" w:asciiTheme="minorEastAsia" w:hAnsiTheme="minorEastAsia"/>
                <w:szCs w:val="21"/>
                <w:lang w:bidi="ar"/>
              </w:rPr>
              <w:br w:type="textWrapping"/>
            </w:r>
            <w:r>
              <w:rPr>
                <w:rFonts w:hint="eastAsia" w:cs="仿宋" w:asciiTheme="minorEastAsia" w:hAnsiTheme="minorEastAsia"/>
                <w:szCs w:val="21"/>
                <w:lang w:bidi="ar"/>
              </w:rPr>
              <w:t>4.色温：3200K-7800k</w:t>
            </w:r>
            <w:r>
              <w:rPr>
                <w:rFonts w:hint="eastAsia" w:cs="仿宋" w:asciiTheme="minorEastAsia" w:hAnsiTheme="minorEastAsia"/>
                <w:szCs w:val="21"/>
                <w:lang w:bidi="ar"/>
              </w:rPr>
              <w:br w:type="textWrapping"/>
            </w:r>
            <w:r>
              <w:rPr>
                <w:rFonts w:hint="eastAsia" w:cs="仿宋" w:asciiTheme="minorEastAsia" w:hAnsiTheme="minorEastAsia"/>
                <w:szCs w:val="21"/>
                <w:lang w:bidi="ar"/>
              </w:rPr>
              <w:t>5.控制方式：单机、主/从、声控、DMX512，自走效果、自动淡入淡出效果</w:t>
            </w:r>
            <w:r>
              <w:rPr>
                <w:rFonts w:hint="eastAsia" w:cs="仿宋" w:asciiTheme="minorEastAsia" w:hAnsiTheme="minorEastAsia"/>
                <w:szCs w:val="21"/>
                <w:lang w:bidi="ar"/>
              </w:rPr>
              <w:br w:type="textWrapping"/>
            </w:r>
            <w:r>
              <w:rPr>
                <w:rFonts w:hint="eastAsia" w:cs="仿宋" w:asciiTheme="minorEastAsia" w:hAnsiTheme="minorEastAsia"/>
                <w:szCs w:val="21"/>
                <w:lang w:bidi="ar"/>
              </w:rPr>
              <w:t>6.光源功率：超亮度LED，60颗×3W</w:t>
            </w:r>
            <w:r>
              <w:rPr>
                <w:rFonts w:hint="eastAsia" w:cs="仿宋" w:asciiTheme="minorEastAsia" w:hAnsiTheme="minorEastAsia"/>
                <w:szCs w:val="21"/>
                <w:lang w:bidi="ar"/>
              </w:rPr>
              <w:br w:type="textWrapping"/>
            </w:r>
            <w:r>
              <w:rPr>
                <w:rFonts w:hint="eastAsia" w:cs="仿宋" w:asciiTheme="minorEastAsia" w:hAnsiTheme="minorEastAsia"/>
                <w:szCs w:val="21"/>
                <w:lang w:bidi="ar"/>
              </w:rPr>
              <w:t>7.混色效果：均匀的RGBWA无极混色系统，每种颜色能单独控制，演绎出多种效果</w:t>
            </w:r>
            <w:r>
              <w:rPr>
                <w:rFonts w:hint="eastAsia" w:cs="仿宋" w:asciiTheme="minorEastAsia" w:hAnsiTheme="minorEastAsia"/>
                <w:szCs w:val="21"/>
                <w:lang w:bidi="ar"/>
              </w:rPr>
              <w:br w:type="textWrapping"/>
            </w:r>
            <w:r>
              <w:rPr>
                <w:rFonts w:hint="eastAsia" w:cs="仿宋" w:asciiTheme="minorEastAsia" w:hAnsiTheme="minorEastAsia"/>
                <w:szCs w:val="21"/>
                <w:lang w:bidi="ar"/>
              </w:rPr>
              <w:t>8.内置功能：内置10种以上灯光效果程序，可脱控制器同步运行。</w:t>
            </w:r>
            <w:r>
              <w:rPr>
                <w:rFonts w:hint="eastAsia" w:cs="仿宋" w:asciiTheme="minorEastAsia" w:hAnsiTheme="minorEastAsia"/>
                <w:szCs w:val="21"/>
                <w:lang w:bidi="ar"/>
              </w:rPr>
              <w:br w:type="textWrapping"/>
            </w:r>
            <w:r>
              <w:rPr>
                <w:rFonts w:hint="eastAsia" w:cs="仿宋" w:asciiTheme="minorEastAsia" w:hAnsiTheme="minorEastAsia"/>
                <w:szCs w:val="21"/>
                <w:lang w:bidi="ar"/>
              </w:rPr>
              <w:t>9.频闪：≥25次/秒频闪，脉冲频闪，随机频闪</w:t>
            </w:r>
            <w:r>
              <w:rPr>
                <w:rFonts w:hint="eastAsia" w:cs="仿宋" w:asciiTheme="minorEastAsia" w:hAnsiTheme="minorEastAsia"/>
                <w:szCs w:val="21"/>
                <w:lang w:bidi="ar"/>
              </w:rPr>
              <w:br w:type="textWrapping"/>
            </w:r>
            <w:r>
              <w:rPr>
                <w:rFonts w:hint="eastAsia" w:cs="仿宋" w:asciiTheme="minorEastAsia" w:hAnsiTheme="minorEastAsia"/>
                <w:szCs w:val="21"/>
                <w:lang w:bidi="ar"/>
              </w:rPr>
              <w:t>10.调光：频闪/调光：0-100%线性调光；电子线性调光、采用静态恒流驱动方式无闪烁</w:t>
            </w:r>
            <w:r>
              <w:rPr>
                <w:rFonts w:hint="eastAsia" w:cs="仿宋" w:asciiTheme="minorEastAsia" w:hAnsiTheme="minorEastAsia"/>
                <w:szCs w:val="21"/>
                <w:lang w:bidi="ar"/>
              </w:rPr>
              <w:br w:type="textWrapping"/>
            </w:r>
            <w:r>
              <w:rPr>
                <w:rFonts w:hint="eastAsia" w:cs="仿宋" w:asciiTheme="minorEastAsia" w:hAnsiTheme="minorEastAsia"/>
                <w:szCs w:val="21"/>
                <w:lang w:bidi="ar"/>
              </w:rPr>
              <w:t>11.控制协议：国际标准DMX512控制协议</w:t>
            </w:r>
            <w:r>
              <w:rPr>
                <w:rFonts w:hint="eastAsia" w:cs="仿宋" w:asciiTheme="minorEastAsia" w:hAnsiTheme="minorEastAsia"/>
                <w:szCs w:val="21"/>
                <w:lang w:bidi="ar"/>
              </w:rPr>
              <w:br w:type="textWrapping"/>
            </w:r>
            <w:r>
              <w:rPr>
                <w:rFonts w:hint="eastAsia" w:cs="仿宋" w:asciiTheme="minorEastAsia" w:hAnsiTheme="minorEastAsia"/>
                <w:szCs w:val="21"/>
                <w:lang w:bidi="ar"/>
              </w:rPr>
              <w:t>12.控制通道：≥8个</w:t>
            </w:r>
            <w:r>
              <w:rPr>
                <w:rFonts w:hint="eastAsia" w:cs="仿宋" w:asciiTheme="minorEastAsia" w:hAnsiTheme="minorEastAsia"/>
                <w:szCs w:val="21"/>
                <w:lang w:bidi="ar"/>
              </w:rPr>
              <w:br w:type="textWrapping"/>
            </w:r>
            <w:r>
              <w:rPr>
                <w:rFonts w:hint="eastAsia" w:cs="仿宋" w:asciiTheme="minorEastAsia" w:hAnsiTheme="minorEastAsia"/>
                <w:szCs w:val="21"/>
                <w:lang w:bidi="ar"/>
              </w:rPr>
              <w:t>13.控制模式：具备DMX模式、随机模式、自走模式、声控模式，可自由选择</w:t>
            </w:r>
            <w:r>
              <w:rPr>
                <w:rFonts w:hint="eastAsia" w:cs="仿宋" w:asciiTheme="minorEastAsia" w:hAnsiTheme="minorEastAsia"/>
                <w:szCs w:val="21"/>
                <w:lang w:bidi="ar"/>
              </w:rPr>
              <w:br w:type="textWrapping"/>
            </w:r>
            <w:r>
              <w:rPr>
                <w:rFonts w:hint="eastAsia" w:cs="仿宋" w:asciiTheme="minorEastAsia" w:hAnsiTheme="minorEastAsia"/>
                <w:szCs w:val="21"/>
                <w:lang w:bidi="ar"/>
              </w:rPr>
              <w:t>14.支持CIPT协议，无线控灯、移动设备远程控制，内置灯库编辑软件；内置Visualiser线条式灯光可视化软件，可以预编程、MIDI时间码声光同步功能的灯控台控制使用</w:t>
            </w:r>
            <w:r>
              <w:rPr>
                <w:rFonts w:hint="eastAsia" w:cs="仿宋" w:asciiTheme="minorEastAsia" w:hAnsiTheme="minorEastAsia"/>
                <w:szCs w:val="21"/>
                <w:lang w:bidi="ar"/>
              </w:rPr>
              <w:br w:type="textWrapping"/>
            </w:r>
            <w:r>
              <w:rPr>
                <w:rFonts w:hint="eastAsia" w:cs="仿宋" w:asciiTheme="minorEastAsia" w:hAnsiTheme="minorEastAsia"/>
                <w:szCs w:val="21"/>
                <w:lang w:bidi="ar"/>
              </w:rPr>
              <w:t>15.透光率：≥90%</w:t>
            </w:r>
            <w:r>
              <w:rPr>
                <w:rFonts w:hint="eastAsia" w:cs="仿宋" w:asciiTheme="minorEastAsia" w:hAnsiTheme="minorEastAsia"/>
                <w:szCs w:val="21"/>
                <w:lang w:bidi="ar"/>
              </w:rPr>
              <w:br w:type="textWrapping"/>
            </w:r>
            <w:r>
              <w:rPr>
                <w:rFonts w:hint="eastAsia" w:cs="仿宋" w:asciiTheme="minorEastAsia" w:hAnsiTheme="minorEastAsia"/>
                <w:szCs w:val="21"/>
                <w:lang w:bidi="ar"/>
              </w:rPr>
              <w:t>16.透光镜莫氏硬度：≥8H</w:t>
            </w:r>
            <w:r>
              <w:rPr>
                <w:rFonts w:hint="eastAsia" w:cs="仿宋" w:asciiTheme="minorEastAsia" w:hAnsiTheme="minorEastAsia"/>
                <w:szCs w:val="21"/>
                <w:lang w:bidi="ar"/>
              </w:rPr>
              <w:br w:type="textWrapping"/>
            </w:r>
            <w:r>
              <w:rPr>
                <w:rFonts w:hint="eastAsia" w:cs="仿宋" w:asciiTheme="minorEastAsia" w:hAnsiTheme="minorEastAsia"/>
                <w:szCs w:val="21"/>
                <w:lang w:bidi="ar"/>
              </w:rPr>
              <w:t>17.灯具线材：电源线和信号线材，符合国家标准。</w:t>
            </w:r>
            <w:r>
              <w:rPr>
                <w:rFonts w:hint="eastAsia" w:cs="仿宋" w:asciiTheme="minorEastAsia" w:hAnsiTheme="minorEastAsia"/>
                <w:szCs w:val="21"/>
                <w:lang w:bidi="ar"/>
              </w:rPr>
              <w:br w:type="textWrapping"/>
            </w:r>
            <w:r>
              <w:rPr>
                <w:rFonts w:hint="eastAsia" w:cs="仿宋" w:asciiTheme="minorEastAsia" w:hAnsiTheme="minorEastAsia"/>
                <w:szCs w:val="21"/>
                <w:lang w:bidi="ar"/>
              </w:rPr>
              <w:t>18.机身结构：高韧度高强度铝质+铁质架构、灯体黑色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26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追光灯</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支持电压:AC100V~240V 50Hz/60Hz</w:t>
            </w:r>
            <w:r>
              <w:rPr>
                <w:rFonts w:hint="eastAsia" w:cs="仿宋" w:asciiTheme="minorEastAsia" w:hAnsiTheme="minorEastAsia"/>
                <w:szCs w:val="21"/>
                <w:lang w:bidi="ar"/>
              </w:rPr>
              <w:br w:type="textWrapping"/>
            </w:r>
            <w:r>
              <w:rPr>
                <w:rFonts w:hint="eastAsia" w:cs="仿宋" w:asciiTheme="minorEastAsia" w:hAnsiTheme="minorEastAsia"/>
                <w:szCs w:val="21"/>
                <w:lang w:bidi="ar"/>
              </w:rPr>
              <w:t>耗电功率:380W</w:t>
            </w:r>
            <w:r>
              <w:rPr>
                <w:rFonts w:hint="eastAsia" w:cs="仿宋" w:asciiTheme="minorEastAsia" w:hAnsiTheme="minorEastAsia"/>
                <w:szCs w:val="21"/>
                <w:lang w:bidi="ar"/>
              </w:rPr>
              <w:br w:type="textWrapping"/>
            </w:r>
            <w:r>
              <w:rPr>
                <w:rFonts w:hint="eastAsia" w:cs="仿宋" w:asciiTheme="minorEastAsia" w:hAnsiTheme="minorEastAsia"/>
                <w:szCs w:val="21"/>
                <w:lang w:bidi="ar"/>
              </w:rPr>
              <w:t>灯泡规格:330Wled 灯珠</w:t>
            </w:r>
            <w:r>
              <w:rPr>
                <w:rFonts w:hint="eastAsia" w:cs="仿宋" w:asciiTheme="minorEastAsia" w:hAnsiTheme="minorEastAsia"/>
                <w:szCs w:val="21"/>
                <w:lang w:bidi="ar"/>
              </w:rPr>
              <w:br w:type="textWrapping"/>
            </w:r>
            <w:r>
              <w:rPr>
                <w:rFonts w:hint="eastAsia" w:cs="仿宋" w:asciiTheme="minorEastAsia" w:hAnsiTheme="minorEastAsia"/>
                <w:szCs w:val="21"/>
                <w:lang w:bidi="ar"/>
              </w:rPr>
              <w:t>颜 色:一个彩色转轮6颜色+白光</w:t>
            </w:r>
            <w:r>
              <w:rPr>
                <w:rFonts w:hint="eastAsia" w:cs="仿宋" w:asciiTheme="minorEastAsia" w:hAnsiTheme="minorEastAsia"/>
                <w:szCs w:val="21"/>
                <w:lang w:bidi="ar"/>
              </w:rPr>
              <w:br w:type="textWrapping"/>
            </w:r>
            <w:r>
              <w:rPr>
                <w:rFonts w:hint="eastAsia" w:cs="仿宋" w:asciiTheme="minorEastAsia" w:hAnsiTheme="minorEastAsia"/>
                <w:szCs w:val="21"/>
                <w:lang w:bidi="ar"/>
              </w:rPr>
              <w:t>控制信号:自配信号 旋钮控制</w:t>
            </w:r>
            <w:r>
              <w:rPr>
                <w:rFonts w:hint="eastAsia" w:cs="仿宋" w:asciiTheme="minorEastAsia" w:hAnsiTheme="minorEastAsia"/>
                <w:szCs w:val="21"/>
                <w:lang w:bidi="ar"/>
              </w:rPr>
              <w:br w:type="textWrapping"/>
            </w:r>
            <w:r>
              <w:rPr>
                <w:rFonts w:hint="eastAsia" w:cs="仿宋" w:asciiTheme="minorEastAsia" w:hAnsiTheme="minorEastAsia"/>
                <w:szCs w:val="21"/>
                <w:lang w:bidi="ar"/>
              </w:rPr>
              <w:t>控制模式:单机模式</w:t>
            </w:r>
            <w:r>
              <w:rPr>
                <w:rFonts w:hint="eastAsia" w:cs="仿宋" w:asciiTheme="minorEastAsia" w:hAnsiTheme="minorEastAsia"/>
                <w:szCs w:val="21"/>
                <w:lang w:bidi="ar"/>
              </w:rPr>
              <w:br w:type="textWrapping"/>
            </w:r>
            <w:r>
              <w:rPr>
                <w:rFonts w:hint="eastAsia" w:cs="仿宋" w:asciiTheme="minorEastAsia" w:hAnsiTheme="minorEastAsia"/>
                <w:szCs w:val="21"/>
                <w:lang w:bidi="ar"/>
              </w:rPr>
              <w:t>光学系统: 330Wled 灯珠</w:t>
            </w:r>
            <w:r>
              <w:rPr>
                <w:rFonts w:hint="eastAsia" w:cs="仿宋" w:asciiTheme="minorEastAsia" w:hAnsiTheme="minorEastAsia"/>
                <w:szCs w:val="21"/>
                <w:lang w:bidi="ar"/>
              </w:rPr>
              <w:br w:type="textWrapping"/>
            </w:r>
            <w:r>
              <w:rPr>
                <w:rFonts w:hint="eastAsia" w:cs="仿宋" w:asciiTheme="minorEastAsia" w:hAnsiTheme="minorEastAsia"/>
                <w:szCs w:val="21"/>
                <w:lang w:bidi="ar"/>
              </w:rPr>
              <w:t>光圈效果:光圈大小可调</w:t>
            </w:r>
            <w:r>
              <w:rPr>
                <w:rFonts w:hint="eastAsia" w:cs="仿宋" w:asciiTheme="minorEastAsia" w:hAnsiTheme="minorEastAsia"/>
                <w:szCs w:val="21"/>
                <w:lang w:bidi="ar"/>
              </w:rPr>
              <w:br w:type="textWrapping"/>
            </w:r>
            <w:r>
              <w:rPr>
                <w:rFonts w:hint="eastAsia" w:cs="仿宋" w:asciiTheme="minorEastAsia" w:hAnsiTheme="minorEastAsia"/>
                <w:szCs w:val="21"/>
                <w:lang w:bidi="ar"/>
              </w:rPr>
              <w:t>频 闪:1-7次/秒频闪</w:t>
            </w:r>
            <w:r>
              <w:rPr>
                <w:rFonts w:hint="eastAsia" w:cs="仿宋" w:asciiTheme="minorEastAsia" w:hAnsiTheme="minorEastAsia"/>
                <w:szCs w:val="21"/>
                <w:lang w:bidi="ar"/>
              </w:rPr>
              <w:br w:type="textWrapping"/>
            </w:r>
            <w:r>
              <w:rPr>
                <w:rFonts w:hint="eastAsia" w:cs="仿宋" w:asciiTheme="minorEastAsia" w:hAnsiTheme="minorEastAsia"/>
                <w:szCs w:val="21"/>
                <w:lang w:bidi="ar"/>
              </w:rPr>
              <w:t>色温校正:正常5600k,调高6000K,调低3200K</w:t>
            </w:r>
            <w:r>
              <w:rPr>
                <w:rFonts w:hint="eastAsia" w:cs="仿宋" w:asciiTheme="minorEastAsia" w:hAnsiTheme="minorEastAsia"/>
                <w:szCs w:val="21"/>
                <w:lang w:bidi="ar"/>
              </w:rPr>
              <w:br w:type="textWrapping"/>
            </w:r>
            <w:r>
              <w:rPr>
                <w:rFonts w:hint="eastAsia" w:cs="仿宋" w:asciiTheme="minorEastAsia" w:hAnsiTheme="minorEastAsia"/>
                <w:szCs w:val="21"/>
                <w:lang w:bidi="ar"/>
              </w:rPr>
              <w:t>外 壳:铝合金包边</w:t>
            </w:r>
            <w:r>
              <w:rPr>
                <w:rFonts w:hint="eastAsia" w:cs="仿宋" w:asciiTheme="minorEastAsia" w:hAnsiTheme="minorEastAsia"/>
                <w:szCs w:val="21"/>
                <w:lang w:bidi="ar"/>
              </w:rPr>
              <w:br w:type="textWrapping"/>
            </w:r>
            <w:r>
              <w:rPr>
                <w:rFonts w:hint="eastAsia" w:cs="仿宋" w:asciiTheme="minorEastAsia" w:hAnsiTheme="minorEastAsia"/>
                <w:szCs w:val="21"/>
                <w:lang w:bidi="ar"/>
              </w:rPr>
              <w:t>换色、光圈大小、频闪等功能可用按键控制。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204"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1024控台</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DMX512 通道数：1024</w:t>
            </w:r>
            <w:r>
              <w:rPr>
                <w:rFonts w:hint="eastAsia" w:cs="仿宋" w:asciiTheme="minorEastAsia" w:hAnsiTheme="minorEastAsia"/>
                <w:szCs w:val="21"/>
                <w:lang w:bidi="ar"/>
              </w:rPr>
              <w:br w:type="textWrapping"/>
            </w:r>
            <w:r>
              <w:rPr>
                <w:rFonts w:hint="eastAsia" w:cs="仿宋" w:asciiTheme="minorEastAsia" w:hAnsiTheme="minorEastAsia"/>
                <w:szCs w:val="21"/>
                <w:lang w:bidi="ar"/>
              </w:rPr>
              <w:t>电脑灯的配接数量：96</w:t>
            </w:r>
            <w:r>
              <w:rPr>
                <w:rFonts w:hint="eastAsia" w:cs="仿宋" w:asciiTheme="minorEastAsia" w:hAnsiTheme="minorEastAsia"/>
                <w:szCs w:val="21"/>
                <w:lang w:bidi="ar"/>
              </w:rPr>
              <w:br w:type="textWrapping"/>
            </w:r>
            <w:r>
              <w:rPr>
                <w:rFonts w:hint="eastAsia" w:cs="仿宋" w:asciiTheme="minorEastAsia" w:hAnsiTheme="minorEastAsia"/>
                <w:szCs w:val="21"/>
                <w:lang w:bidi="ar"/>
              </w:rPr>
              <w:t>电脑灯重新配接地址码：支持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灯具水平垂直交换：支持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灯具通道反倒输出：支持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灯具通道滑步模式切换：支持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每台电脑灯最多可用控制通道：40主通道+40微调通道</w:t>
            </w:r>
            <w:r>
              <w:rPr>
                <w:rFonts w:hint="eastAsia" w:cs="仿宋" w:asciiTheme="minorEastAsia" w:hAnsiTheme="minorEastAsia"/>
                <w:szCs w:val="21"/>
                <w:lang w:bidi="ar"/>
              </w:rPr>
              <w:br w:type="textWrapping"/>
            </w:r>
            <w:r>
              <w:rPr>
                <w:rFonts w:hint="eastAsia" w:cs="仿宋" w:asciiTheme="minorEastAsia" w:hAnsiTheme="minorEastAsia"/>
                <w:szCs w:val="21"/>
                <w:lang w:bidi="ar"/>
              </w:rPr>
              <w:t>灯库：支持珍珠R20灯库</w:t>
            </w:r>
            <w:r>
              <w:rPr>
                <w:rFonts w:hint="eastAsia" w:cs="仿宋" w:asciiTheme="minorEastAsia" w:hAnsiTheme="minorEastAsia"/>
                <w:szCs w:val="21"/>
                <w:lang w:bidi="ar"/>
              </w:rPr>
              <w:br w:type="textWrapping"/>
            </w:r>
            <w:r>
              <w:rPr>
                <w:rFonts w:hint="eastAsia" w:cs="仿宋" w:asciiTheme="minorEastAsia" w:hAnsiTheme="minorEastAsia"/>
                <w:szCs w:val="21"/>
                <w:lang w:bidi="ar"/>
              </w:rPr>
              <w:t>可保存的场景数量：60</w:t>
            </w:r>
            <w:r>
              <w:rPr>
                <w:rFonts w:hint="eastAsia" w:cs="仿宋" w:asciiTheme="minorEastAsia" w:hAnsiTheme="minorEastAsia"/>
                <w:szCs w:val="21"/>
                <w:lang w:bidi="ar"/>
              </w:rPr>
              <w:br w:type="textWrapping"/>
            </w:r>
            <w:r>
              <w:rPr>
                <w:rFonts w:hint="eastAsia" w:cs="仿宋" w:asciiTheme="minorEastAsia" w:hAnsiTheme="minorEastAsia"/>
                <w:szCs w:val="21"/>
                <w:lang w:bidi="ar"/>
              </w:rPr>
              <w:t>可同时运行的场景数量：10</w:t>
            </w:r>
            <w:r>
              <w:rPr>
                <w:rFonts w:hint="eastAsia" w:cs="仿宋" w:asciiTheme="minorEastAsia" w:hAnsiTheme="minorEastAsia"/>
                <w:szCs w:val="21"/>
                <w:lang w:bidi="ar"/>
              </w:rPr>
              <w:br w:type="textWrapping"/>
            </w:r>
            <w:r>
              <w:rPr>
                <w:rFonts w:hint="eastAsia" w:cs="仿宋" w:asciiTheme="minorEastAsia" w:hAnsiTheme="minorEastAsia"/>
                <w:szCs w:val="21"/>
                <w:lang w:bidi="ar"/>
              </w:rPr>
              <w:t>多步场景的总步数：600</w:t>
            </w:r>
            <w:r>
              <w:rPr>
                <w:rFonts w:hint="eastAsia" w:cs="仿宋" w:asciiTheme="minorEastAsia" w:hAnsiTheme="minorEastAsia"/>
                <w:szCs w:val="21"/>
                <w:lang w:bidi="ar"/>
              </w:rPr>
              <w:br w:type="textWrapping"/>
            </w:r>
            <w:r>
              <w:rPr>
                <w:rFonts w:hint="eastAsia" w:cs="仿宋" w:asciiTheme="minorEastAsia" w:hAnsiTheme="minorEastAsia"/>
                <w:szCs w:val="21"/>
                <w:lang w:bidi="ar"/>
              </w:rPr>
              <w:t>场景的时间控制：淡入、淡出、LTP滑步</w:t>
            </w:r>
            <w:r>
              <w:rPr>
                <w:rFonts w:hint="eastAsia" w:cs="仿宋" w:asciiTheme="minorEastAsia" w:hAnsiTheme="minorEastAsia"/>
                <w:szCs w:val="21"/>
                <w:lang w:bidi="ar"/>
              </w:rPr>
              <w:br w:type="textWrapping"/>
            </w:r>
            <w:r>
              <w:rPr>
                <w:rFonts w:hint="eastAsia" w:cs="仿宋" w:asciiTheme="minorEastAsia" w:hAnsiTheme="minorEastAsia"/>
                <w:szCs w:val="21"/>
                <w:lang w:bidi="ar"/>
              </w:rPr>
              <w:t>每个场景可存储图形数量：5</w:t>
            </w:r>
            <w:r>
              <w:rPr>
                <w:rFonts w:hint="eastAsia" w:cs="仿宋" w:asciiTheme="minorEastAsia" w:hAnsiTheme="minorEastAsia"/>
                <w:szCs w:val="21"/>
                <w:lang w:bidi="ar"/>
              </w:rPr>
              <w:br w:type="textWrapping"/>
            </w:r>
            <w:r>
              <w:rPr>
                <w:rFonts w:hint="eastAsia" w:cs="仿宋" w:asciiTheme="minorEastAsia" w:hAnsiTheme="minorEastAsia"/>
                <w:szCs w:val="21"/>
                <w:lang w:bidi="ar"/>
              </w:rPr>
              <w:t>推杆启动场景并进行调光：支持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互锁场景：支持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点控场景：支持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图形生成器：可生成Dimmer, P/T, RGB, CMY, Color, Gobo, Iris, Focus图形</w:t>
            </w:r>
            <w:r>
              <w:rPr>
                <w:rFonts w:hint="eastAsia" w:cs="仿宋" w:asciiTheme="minorEastAsia" w:hAnsiTheme="minorEastAsia"/>
                <w:szCs w:val="21"/>
                <w:lang w:bidi="ar"/>
              </w:rPr>
              <w:br w:type="textWrapping"/>
            </w:r>
            <w:r>
              <w:rPr>
                <w:rFonts w:hint="eastAsia" w:cs="仿宋" w:asciiTheme="minorEastAsia" w:hAnsiTheme="minorEastAsia"/>
                <w:szCs w:val="21"/>
                <w:lang w:bidi="ar"/>
              </w:rPr>
              <w:t>可同时运行图形数量：5</w:t>
            </w:r>
            <w:r>
              <w:rPr>
                <w:rFonts w:hint="eastAsia" w:cs="仿宋" w:asciiTheme="minorEastAsia" w:hAnsiTheme="minorEastAsia"/>
                <w:szCs w:val="21"/>
                <w:lang w:bidi="ar"/>
              </w:rPr>
              <w:br w:type="textWrapping"/>
            </w:r>
            <w:r>
              <w:rPr>
                <w:rFonts w:hint="eastAsia" w:cs="仿宋" w:asciiTheme="minorEastAsia" w:hAnsiTheme="minorEastAsia"/>
                <w:szCs w:val="21"/>
                <w:lang w:bidi="ar"/>
              </w:rPr>
              <w:t>主控推杆：全局、重演、灯具</w:t>
            </w:r>
            <w:r>
              <w:rPr>
                <w:rFonts w:hint="eastAsia" w:cs="仿宋" w:asciiTheme="minorEastAsia" w:hAnsiTheme="minorEastAsia"/>
                <w:szCs w:val="21"/>
                <w:lang w:bidi="ar"/>
              </w:rPr>
              <w:br w:type="textWrapping"/>
            </w:r>
            <w:r>
              <w:rPr>
                <w:rFonts w:hint="eastAsia" w:cs="仿宋" w:asciiTheme="minorEastAsia" w:hAnsiTheme="minorEastAsia"/>
                <w:szCs w:val="21"/>
                <w:lang w:bidi="ar"/>
              </w:rPr>
              <w:t>立即黑场：支持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转盘调整通道数值：支持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推杆调整通道数值：支持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推杆调光：支持</w:t>
            </w:r>
            <w:r>
              <w:rPr>
                <w:rFonts w:hint="eastAsia" w:cs="仿宋" w:asciiTheme="minorEastAsia" w:hAnsiTheme="minorEastAsia"/>
                <w:szCs w:val="21"/>
                <w:lang w:bidi="ar"/>
              </w:rPr>
              <w:br w:type="textWrapping"/>
            </w:r>
            <w:r>
              <w:rPr>
                <w:rFonts w:hint="eastAsia" w:cs="仿宋" w:asciiTheme="minorEastAsia" w:hAnsiTheme="minorEastAsia"/>
                <w:szCs w:val="21"/>
                <w:lang w:bidi="ar"/>
              </w:rPr>
              <w:t>U盘读取：支持FAT32格式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92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信号隔离放大器</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1.DMX数字信号光电藕合隔离1进6出</w:t>
            </w:r>
            <w:r>
              <w:rPr>
                <w:rFonts w:hint="eastAsia" w:cs="仿宋" w:asciiTheme="minorEastAsia" w:hAnsiTheme="minorEastAsia"/>
                <w:szCs w:val="21"/>
                <w:lang w:bidi="ar"/>
              </w:rPr>
              <w:br w:type="textWrapping"/>
            </w:r>
            <w:r>
              <w:rPr>
                <w:rFonts w:hint="eastAsia" w:cs="仿宋" w:asciiTheme="minorEastAsia" w:hAnsiTheme="minorEastAsia"/>
                <w:szCs w:val="21"/>
                <w:lang w:bidi="ar"/>
              </w:rPr>
              <w:t>2.8位独立放大的DMX信号输出</w:t>
            </w:r>
            <w:r>
              <w:rPr>
                <w:rFonts w:hint="eastAsia" w:cs="仿宋" w:asciiTheme="minorEastAsia" w:hAnsiTheme="minorEastAsia"/>
                <w:szCs w:val="21"/>
                <w:lang w:bidi="ar"/>
              </w:rPr>
              <w:br w:type="textWrapping"/>
            </w:r>
            <w:r>
              <w:rPr>
                <w:rFonts w:hint="eastAsia" w:cs="仿宋" w:asciiTheme="minorEastAsia" w:hAnsiTheme="minorEastAsia"/>
                <w:szCs w:val="21"/>
                <w:lang w:bidi="ar"/>
              </w:rPr>
              <w:t>3.有效提高DMX信号传送能力</w:t>
            </w:r>
            <w:r>
              <w:rPr>
                <w:rFonts w:hint="eastAsia" w:cs="仿宋" w:asciiTheme="minorEastAsia" w:hAnsiTheme="minorEastAsia"/>
                <w:szCs w:val="21"/>
                <w:lang w:bidi="ar"/>
              </w:rPr>
              <w:br w:type="textWrapping"/>
            </w:r>
            <w:r>
              <w:rPr>
                <w:rFonts w:hint="eastAsia" w:cs="仿宋" w:asciiTheme="minorEastAsia" w:hAnsiTheme="minorEastAsia"/>
                <w:szCs w:val="21"/>
                <w:lang w:bidi="ar"/>
              </w:rPr>
              <w:t>4.有效提高DMX信号抗干扰能力</w:t>
            </w:r>
            <w:r>
              <w:rPr>
                <w:rFonts w:hint="eastAsia" w:cs="仿宋" w:asciiTheme="minorEastAsia" w:hAnsiTheme="minorEastAsia"/>
                <w:szCs w:val="21"/>
                <w:lang w:bidi="ar"/>
              </w:rPr>
              <w:br w:type="textWrapping"/>
            </w:r>
            <w:r>
              <w:rPr>
                <w:rFonts w:hint="eastAsia" w:cs="仿宋" w:asciiTheme="minorEastAsia" w:hAnsiTheme="minorEastAsia"/>
                <w:szCs w:val="21"/>
                <w:lang w:bidi="ar"/>
              </w:rPr>
              <w:t>5.DMX信号光电隔离</w:t>
            </w:r>
            <w:r>
              <w:rPr>
                <w:rFonts w:hint="eastAsia" w:cs="仿宋" w:asciiTheme="minorEastAsia" w:hAnsiTheme="minorEastAsia"/>
                <w:szCs w:val="21"/>
                <w:lang w:bidi="ar"/>
              </w:rPr>
              <w:br w:type="textWrapping"/>
            </w:r>
            <w:r>
              <w:rPr>
                <w:rFonts w:hint="eastAsia" w:cs="仿宋" w:asciiTheme="minorEastAsia" w:hAnsiTheme="minorEastAsia"/>
                <w:szCs w:val="21"/>
                <w:lang w:bidi="ar"/>
              </w:rPr>
              <w:t>6.防止市电高压串入调光台</w:t>
            </w:r>
            <w:r>
              <w:rPr>
                <w:rFonts w:hint="eastAsia" w:cs="仿宋" w:asciiTheme="minorEastAsia" w:hAnsiTheme="minorEastAsia"/>
                <w:szCs w:val="21"/>
                <w:lang w:bidi="ar"/>
              </w:rPr>
              <w:br w:type="textWrapping"/>
            </w:r>
            <w:r>
              <w:rPr>
                <w:rFonts w:hint="eastAsia" w:cs="仿宋" w:asciiTheme="minorEastAsia" w:hAnsiTheme="minorEastAsia"/>
                <w:szCs w:val="21"/>
                <w:lang w:bidi="ar"/>
              </w:rPr>
              <w:t>7.防止雷击高压串入调光台</w:t>
            </w:r>
            <w:r>
              <w:rPr>
                <w:rFonts w:hint="eastAsia" w:cs="仿宋" w:asciiTheme="minorEastAsia" w:hAnsiTheme="minorEastAsia"/>
                <w:szCs w:val="21"/>
                <w:lang w:bidi="ar"/>
              </w:rPr>
              <w:br w:type="textWrapping"/>
            </w:r>
            <w:r>
              <w:rPr>
                <w:rFonts w:hint="eastAsia" w:cs="仿宋" w:asciiTheme="minorEastAsia" w:hAnsiTheme="minorEastAsia"/>
                <w:szCs w:val="21"/>
                <w:lang w:bidi="ar"/>
              </w:rPr>
              <w:t>8.可以直接安装到标准机柜上</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84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电源直通箱</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供电：三相五线制AC380V±10％，频率50Hz±5％.</w:t>
            </w:r>
            <w:r>
              <w:rPr>
                <w:rFonts w:hint="eastAsia" w:cs="仿宋" w:asciiTheme="minorEastAsia" w:hAnsiTheme="minorEastAsia"/>
                <w:szCs w:val="21"/>
                <w:lang w:bidi="ar"/>
              </w:rPr>
              <w:br w:type="textWrapping"/>
            </w:r>
            <w:r>
              <w:rPr>
                <w:rFonts w:hint="eastAsia" w:cs="仿宋" w:asciiTheme="minorEastAsia" w:hAnsiTheme="minorEastAsia"/>
                <w:szCs w:val="21"/>
                <w:lang w:bidi="ar"/>
              </w:rPr>
              <w:t>额定功率：12路×4KW；可适用于任何负载.</w:t>
            </w:r>
            <w:r>
              <w:rPr>
                <w:rFonts w:hint="eastAsia" w:cs="仿宋" w:asciiTheme="minorEastAsia" w:hAnsiTheme="minorEastAsia"/>
                <w:szCs w:val="21"/>
                <w:lang w:bidi="ar"/>
              </w:rPr>
              <w:br w:type="textWrapping"/>
            </w:r>
            <w:r>
              <w:rPr>
                <w:rFonts w:hint="eastAsia" w:cs="仿宋" w:asciiTheme="minorEastAsia" w:hAnsiTheme="minorEastAsia"/>
                <w:szCs w:val="21"/>
                <w:lang w:bidi="ar"/>
              </w:rPr>
              <w:t>过载与短路双重保护高分断空气开关.</w:t>
            </w:r>
            <w:r>
              <w:rPr>
                <w:rFonts w:hint="eastAsia" w:cs="仿宋" w:asciiTheme="minorEastAsia" w:hAnsiTheme="minorEastAsia"/>
                <w:szCs w:val="21"/>
                <w:lang w:bidi="ar"/>
              </w:rPr>
              <w:br w:type="textWrapping"/>
            </w:r>
            <w:r>
              <w:rPr>
                <w:rFonts w:hint="eastAsia" w:cs="仿宋" w:asciiTheme="minorEastAsia" w:hAnsiTheme="minorEastAsia"/>
                <w:szCs w:val="21"/>
                <w:lang w:bidi="ar"/>
              </w:rPr>
              <w:t>A.B.C三相工作指示灯. 设两脚和三脚万能用插座方便使用，进口接线端输入，单40A胶木插输出。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594" w:hRule="atLeast"/>
          <w:jc w:val="center"/>
        </w:trPr>
        <w:tc>
          <w:tcPr>
            <w:tcW w:w="10206"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b/>
                <w:bCs/>
                <w:szCs w:val="21"/>
                <w:lang w:bidi="ar"/>
              </w:rPr>
              <w:t>二、舞台机械</w:t>
            </w:r>
          </w:p>
        </w:tc>
      </w:tr>
      <w:tr>
        <w:tblPrEx>
          <w:tblLayout w:type="fixed"/>
          <w:tblCellMar>
            <w:top w:w="0" w:type="dxa"/>
            <w:left w:w="108" w:type="dxa"/>
            <w:bottom w:w="0" w:type="dxa"/>
            <w:right w:w="108" w:type="dxa"/>
          </w:tblCellMar>
        </w:tblPrEx>
        <w:trPr>
          <w:trHeight w:val="433"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电动对开大幕系统</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最大牵引：500N</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运行速度：0.01-1.0m/s              </w:t>
            </w:r>
            <w:r>
              <w:rPr>
                <w:rFonts w:hint="eastAsia" w:cs="仿宋" w:asciiTheme="minorEastAsia" w:hAnsiTheme="minorEastAsia"/>
                <w:szCs w:val="21"/>
                <w:lang w:bidi="ar"/>
              </w:rPr>
              <w:br w:type="textWrapping"/>
            </w:r>
            <w:r>
              <w:rPr>
                <w:rFonts w:hint="eastAsia" w:cs="仿宋" w:asciiTheme="minorEastAsia" w:hAnsiTheme="minorEastAsia"/>
                <w:szCs w:val="21"/>
                <w:lang w:bidi="ar"/>
              </w:rPr>
              <w:t>噪    音：≤50db</w:t>
            </w:r>
            <w:r>
              <w:rPr>
                <w:rFonts w:hint="eastAsia" w:cs="仿宋" w:asciiTheme="minorEastAsia" w:hAnsiTheme="minorEastAsia"/>
                <w:szCs w:val="21"/>
                <w:lang w:bidi="ar"/>
              </w:rPr>
              <w:br w:type="textWrapping"/>
            </w:r>
            <w:r>
              <w:rPr>
                <w:rFonts w:hint="eastAsia" w:cs="仿宋" w:asciiTheme="minorEastAsia" w:hAnsiTheme="minorEastAsia"/>
                <w:szCs w:val="21"/>
                <w:lang w:bidi="ar"/>
              </w:rPr>
              <w:t>电机功率：1100W</w:t>
            </w:r>
            <w:r>
              <w:rPr>
                <w:rFonts w:hint="eastAsia" w:cs="仿宋" w:asciiTheme="minorEastAsia" w:hAnsiTheme="minorEastAsia"/>
                <w:szCs w:val="21"/>
                <w:lang w:bidi="ar"/>
              </w:rPr>
              <w:br w:type="textWrapping"/>
            </w:r>
            <w:r>
              <w:rPr>
                <w:rFonts w:hint="eastAsia" w:cs="仿宋" w:asciiTheme="minorEastAsia" w:hAnsiTheme="minorEastAsia"/>
                <w:szCs w:val="21"/>
                <w:lang w:bidi="ar"/>
              </w:rPr>
              <w:t>电源：AC380/50Hz                                                                                                                                         L40×4 架结构轨道                                                                                                                                        含滑轮、跑车、挂钩、限位等                                                                                                                            轨道固定吊挂在电动幕布吊杆下方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道</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4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前檐幕</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材质：金丝绒                                                                                                                                           颜色：玫红色                                                                                                                                                          尺寸：宽18米，高2米，褶比3:1（1</w:t>
            </w:r>
            <w:r>
              <w:rPr>
                <w:rFonts w:cs="仿宋" w:asciiTheme="minorEastAsia" w:hAnsiTheme="minorEastAsia"/>
                <w:szCs w:val="21"/>
                <w:lang w:bidi="ar"/>
              </w:rPr>
              <w:t>幅</w:t>
            </w:r>
            <w:r>
              <w:rPr>
                <w:rFonts w:hint="eastAsia" w:cs="仿宋" w:asciiTheme="minorEastAsia" w:hAnsiTheme="minorEastAsia"/>
                <w:szCs w:val="21"/>
                <w:lang w:bidi="ar"/>
              </w:rPr>
              <w:t>）                                                                                                                               其他：满足国家消防装备质量B1级阻燃要求</w:t>
            </w:r>
          </w:p>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 xml:space="preserve">衬里和面料同材质同颜色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108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4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大幕</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材质：金丝绒                                                                                                                                           颜色：玫红色                                                                                                                                                          尺寸：宽10米，高7.85米，褶比3:1（2</w:t>
            </w:r>
            <w:r>
              <w:rPr>
                <w:rFonts w:cs="仿宋" w:asciiTheme="minorEastAsia" w:hAnsiTheme="minorEastAsia"/>
                <w:szCs w:val="21"/>
                <w:lang w:bidi="ar"/>
              </w:rPr>
              <w:t>幅</w:t>
            </w:r>
            <w:r>
              <w:rPr>
                <w:rFonts w:hint="eastAsia" w:cs="仿宋" w:asciiTheme="minorEastAsia" w:hAnsiTheme="minorEastAsia"/>
                <w:szCs w:val="21"/>
                <w:lang w:bidi="ar"/>
              </w:rPr>
              <w:t>）                                                                                                                                其他：满足国家消防装备质量B1级阻燃要求</w:t>
            </w:r>
          </w:p>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 xml:space="preserve">衬里和面料同材质同颜色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471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304"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横条幕</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cs="Times New Roman" w:asciiTheme="minorEastAsia" w:hAnsiTheme="minorEastAsia"/>
                <w:szCs w:val="21"/>
              </w:rPr>
            </w:pPr>
            <w:r>
              <w:rPr>
                <w:rFonts w:hint="eastAsia" w:cs="Times New Roman" w:asciiTheme="minorEastAsia" w:hAnsiTheme="minorEastAsia"/>
                <w:szCs w:val="21"/>
              </w:rPr>
              <w:t>材质：金丝绒</w:t>
            </w:r>
          </w:p>
          <w:p>
            <w:pPr>
              <w:jc w:val="left"/>
              <w:rPr>
                <w:rFonts w:hint="eastAsia" w:cs="Times New Roman" w:asciiTheme="minorEastAsia" w:hAnsiTheme="minorEastAsia"/>
                <w:szCs w:val="21"/>
              </w:rPr>
            </w:pPr>
            <w:r>
              <w:rPr>
                <w:rFonts w:cs="Times New Roman" w:asciiTheme="minorEastAsia" w:hAnsiTheme="minorEastAsia"/>
                <w:szCs w:val="21"/>
              </w:rPr>
              <w:t>颜色：墨绿色</w:t>
            </w:r>
          </w:p>
          <w:p>
            <w:pPr>
              <w:jc w:val="left"/>
              <w:rPr>
                <w:rFonts w:hint="eastAsia" w:cs="Times New Roman" w:asciiTheme="minorEastAsia" w:hAnsiTheme="minorEastAsia"/>
                <w:szCs w:val="21"/>
              </w:rPr>
            </w:pPr>
            <w:r>
              <w:rPr>
                <w:rFonts w:cs="Times New Roman" w:asciiTheme="minorEastAsia" w:hAnsiTheme="minorEastAsia"/>
                <w:szCs w:val="21"/>
              </w:rPr>
              <w:t>尺寸：</w:t>
            </w:r>
            <w:r>
              <w:rPr>
                <w:rFonts w:hint="eastAsia" w:cs="Times New Roman" w:asciiTheme="minorEastAsia" w:hAnsiTheme="minorEastAsia"/>
                <w:szCs w:val="21"/>
              </w:rPr>
              <w:t>宽</w:t>
            </w:r>
            <w:r>
              <w:rPr>
                <w:rFonts w:cs="Times New Roman" w:asciiTheme="minorEastAsia" w:hAnsiTheme="minorEastAsia"/>
                <w:szCs w:val="21"/>
              </w:rPr>
              <w:t>18</w:t>
            </w:r>
            <w:r>
              <w:rPr>
                <w:rFonts w:hint="eastAsia" w:cs="Times New Roman" w:asciiTheme="minorEastAsia" w:hAnsiTheme="minorEastAsia"/>
                <w:szCs w:val="21"/>
              </w:rPr>
              <w:t>米</w:t>
            </w:r>
            <w:r>
              <w:rPr>
                <w:rFonts w:cs="Times New Roman" w:asciiTheme="minorEastAsia" w:hAnsiTheme="minorEastAsia"/>
                <w:szCs w:val="21"/>
              </w:rPr>
              <w:t>，</w:t>
            </w:r>
            <w:r>
              <w:rPr>
                <w:rFonts w:hint="eastAsia" w:cs="Times New Roman" w:asciiTheme="minorEastAsia" w:hAnsiTheme="minorEastAsia"/>
                <w:szCs w:val="21"/>
              </w:rPr>
              <w:t>高</w:t>
            </w:r>
            <w:r>
              <w:rPr>
                <w:rFonts w:cs="Times New Roman" w:asciiTheme="minorEastAsia" w:hAnsiTheme="minorEastAsia"/>
                <w:szCs w:val="21"/>
              </w:rPr>
              <w:t>2</w:t>
            </w:r>
            <w:r>
              <w:rPr>
                <w:rFonts w:hint="eastAsia" w:cs="Times New Roman" w:asciiTheme="minorEastAsia" w:hAnsiTheme="minorEastAsia"/>
                <w:szCs w:val="21"/>
              </w:rPr>
              <w:t>米</w:t>
            </w:r>
            <w:r>
              <w:rPr>
                <w:rFonts w:cs="Times New Roman" w:asciiTheme="minorEastAsia" w:hAnsiTheme="minorEastAsia"/>
                <w:szCs w:val="21"/>
              </w:rPr>
              <w:t>，</w:t>
            </w:r>
            <w:r>
              <w:rPr>
                <w:rFonts w:hint="eastAsia" w:cs="Times New Roman" w:asciiTheme="minorEastAsia" w:hAnsiTheme="minorEastAsia"/>
                <w:szCs w:val="21"/>
              </w:rPr>
              <w:t>褶比</w:t>
            </w:r>
            <w:r>
              <w:rPr>
                <w:rFonts w:cs="Times New Roman" w:asciiTheme="minorEastAsia" w:hAnsiTheme="minorEastAsia"/>
                <w:szCs w:val="21"/>
              </w:rPr>
              <w:t>3:1</w:t>
            </w:r>
            <w:r>
              <w:rPr>
                <w:rFonts w:hint="eastAsia" w:cs="Times New Roman" w:asciiTheme="minorEastAsia" w:hAnsiTheme="minorEastAsia"/>
                <w:szCs w:val="21"/>
              </w:rPr>
              <w:t>（</w:t>
            </w:r>
            <w:r>
              <w:rPr>
                <w:rFonts w:cs="Times New Roman" w:asciiTheme="minorEastAsia" w:hAnsiTheme="minorEastAsia"/>
                <w:szCs w:val="21"/>
              </w:rPr>
              <w:t>1</w:t>
            </w:r>
            <w:r>
              <w:rPr>
                <w:rFonts w:hint="eastAsia" w:cs="Times New Roman" w:asciiTheme="minorEastAsia" w:hAnsiTheme="minorEastAsia"/>
                <w:szCs w:val="21"/>
              </w:rPr>
              <w:t>幅）</w:t>
            </w:r>
          </w:p>
          <w:p>
            <w:pPr>
              <w:jc w:val="left"/>
              <w:rPr>
                <w:rFonts w:hint="eastAsia" w:cs="仿宋" w:asciiTheme="minorEastAsia" w:hAnsiTheme="minorEastAsia"/>
                <w:szCs w:val="21"/>
                <w:lang w:bidi="ar"/>
              </w:rPr>
            </w:pPr>
            <w:r>
              <w:rPr>
                <w:rFonts w:cs="Times New Roman" w:asciiTheme="minorEastAsia" w:hAnsiTheme="minorEastAsia"/>
                <w:szCs w:val="21"/>
              </w:rPr>
              <w:t>其他：</w:t>
            </w:r>
            <w:r>
              <w:rPr>
                <w:rFonts w:hint="eastAsia" w:cs="仿宋" w:asciiTheme="minorEastAsia" w:hAnsiTheme="minorEastAsia"/>
                <w:szCs w:val="21"/>
                <w:lang w:bidi="ar"/>
              </w:rPr>
              <w:t>满足国家消防装备质量B1级阻燃要求</w:t>
            </w:r>
          </w:p>
          <w:p>
            <w:pPr>
              <w:jc w:val="left"/>
              <w:rPr>
                <w:rFonts w:hint="eastAsia" w:cs="Times New Roman" w:asciiTheme="minorEastAsia" w:hAnsiTheme="minorEastAsia"/>
                <w:szCs w:val="21"/>
              </w:rPr>
            </w:pPr>
            <w:r>
              <w:rPr>
                <w:rFonts w:hint="eastAsia" w:cs="仿宋" w:asciiTheme="minorEastAsia" w:hAnsiTheme="minorEastAsia"/>
                <w:szCs w:val="21"/>
                <w:lang w:bidi="ar"/>
              </w:rPr>
              <w:t>衬里和面料同材质同颜色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108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44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侧条幕</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材质：天鹅绒</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颜色：墨绿色</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尺寸：宽2米，高7.85米，褶比3:1（2片）</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其他：满足国家消防装备质量B1级阻燃要求</w:t>
            </w:r>
          </w:p>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衬里和面料同材质同颜色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94.2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41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幕布杆体</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1）吊杆长度：约17m，2道，主管直径48mm*壁厚2.75mm，表面哑光黑色烤漆。</w:t>
            </w:r>
            <w:r>
              <w:rPr>
                <w:rFonts w:hint="eastAsia" w:cs="仿宋" w:asciiTheme="minorEastAsia" w:hAnsiTheme="minorEastAsia"/>
                <w:szCs w:val="21"/>
                <w:lang w:bidi="ar"/>
              </w:rPr>
              <w:br w:type="textWrapping"/>
            </w:r>
            <w:r>
              <w:rPr>
                <w:rFonts w:hint="eastAsia" w:cs="仿宋" w:asciiTheme="minorEastAsia" w:hAnsiTheme="minorEastAsia"/>
                <w:szCs w:val="21"/>
                <w:lang w:bidi="ar"/>
              </w:rPr>
              <w:t>2）圆管采用无缝防偏结构组件螺纹紧固连接；</w:t>
            </w:r>
            <w:r>
              <w:rPr>
                <w:rFonts w:hint="eastAsia" w:cs="仿宋" w:asciiTheme="minorEastAsia" w:hAnsiTheme="minorEastAsia"/>
                <w:szCs w:val="21"/>
                <w:lang w:bidi="ar"/>
              </w:rPr>
              <w:br w:type="textWrapping"/>
            </w:r>
            <w:r>
              <w:rPr>
                <w:rFonts w:hint="eastAsia" w:cs="仿宋" w:asciiTheme="minorEastAsia" w:hAnsiTheme="minorEastAsia"/>
                <w:szCs w:val="21"/>
                <w:lang w:bidi="ar"/>
              </w:rPr>
              <w:t>3）双管上下连接使用标准平衡抱箍连接，</w:t>
            </w:r>
            <w:r>
              <w:rPr>
                <w:rFonts w:hint="eastAsia" w:cs="仿宋" w:asciiTheme="minorEastAsia" w:hAnsiTheme="minorEastAsia"/>
                <w:szCs w:val="21"/>
                <w:lang w:bidi="ar"/>
              </w:rPr>
              <w:br w:type="textWrapping"/>
            </w:r>
            <w:r>
              <w:rPr>
                <w:rFonts w:hint="eastAsia" w:cs="仿宋" w:asciiTheme="minorEastAsia" w:hAnsiTheme="minorEastAsia"/>
                <w:szCs w:val="21"/>
                <w:lang w:bidi="ar"/>
              </w:rPr>
              <w:t>4）8.8 级螺栓组件固定；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68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灯光吊杆杆体</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1）吊杆长度：约17m，3道，主管直径48mm*壁厚2.75mm，表面哑光黑色烤漆。</w:t>
            </w:r>
            <w:r>
              <w:rPr>
                <w:rFonts w:hint="eastAsia" w:cs="仿宋" w:asciiTheme="minorEastAsia" w:hAnsiTheme="minorEastAsia"/>
                <w:szCs w:val="21"/>
                <w:lang w:bidi="ar"/>
              </w:rPr>
              <w:br w:type="textWrapping"/>
            </w:r>
            <w:r>
              <w:rPr>
                <w:rFonts w:hint="eastAsia" w:cs="仿宋" w:asciiTheme="minorEastAsia" w:hAnsiTheme="minorEastAsia"/>
                <w:szCs w:val="21"/>
                <w:lang w:bidi="ar"/>
              </w:rPr>
              <w:t>2）圆管采用无缝防偏结构组件螺纹紧固连接；</w:t>
            </w:r>
            <w:r>
              <w:rPr>
                <w:rFonts w:hint="eastAsia" w:cs="仿宋" w:asciiTheme="minorEastAsia" w:hAnsiTheme="minorEastAsia"/>
                <w:szCs w:val="21"/>
                <w:lang w:bidi="ar"/>
              </w:rPr>
              <w:br w:type="textWrapping"/>
            </w:r>
            <w:r>
              <w:rPr>
                <w:rFonts w:hint="eastAsia" w:cs="仿宋" w:asciiTheme="minorEastAsia" w:hAnsiTheme="minorEastAsia"/>
                <w:szCs w:val="21"/>
                <w:lang w:bidi="ar"/>
              </w:rPr>
              <w:t>3）双管上下连接使用标准平衡抱箍连接，</w:t>
            </w:r>
            <w:r>
              <w:rPr>
                <w:rFonts w:hint="eastAsia" w:cs="仿宋" w:asciiTheme="minorEastAsia" w:hAnsiTheme="minorEastAsia"/>
                <w:szCs w:val="21"/>
                <w:lang w:bidi="ar"/>
              </w:rPr>
              <w:br w:type="textWrapping"/>
            </w:r>
            <w:r>
              <w:rPr>
                <w:rFonts w:hint="eastAsia" w:cs="仿宋" w:asciiTheme="minorEastAsia" w:hAnsiTheme="minorEastAsia"/>
                <w:szCs w:val="21"/>
                <w:lang w:bidi="ar"/>
              </w:rPr>
              <w:t>4）8.8 级螺栓组件固定；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51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72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舞台机械控制系统</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模拟点控，控制电动幕布对开，含电源指示，相序保护装置所有吊杆能实行软启动软制动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3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舞台桁架</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注：</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栅顶各梁主梁主方管为40mm*80mm*厚度3mm；</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次管为40mm*80mm*厚度3mm；</w:t>
            </w:r>
          </w:p>
          <w:p>
            <w:pPr>
              <w:jc w:val="left"/>
              <w:textAlignment w:val="center"/>
              <w:rPr>
                <w:rFonts w:hint="eastAsia" w:cs="仿宋" w:asciiTheme="minorEastAsia" w:hAnsiTheme="minorEastAsia"/>
                <w:szCs w:val="21"/>
                <w:lang w:bidi="ar"/>
              </w:rPr>
            </w:pPr>
            <w:r>
              <w:rPr>
                <w:rFonts w:hint="eastAsia" w:cs="仿宋" w:asciiTheme="minorEastAsia" w:hAnsiTheme="minorEastAsia"/>
                <w:szCs w:val="21"/>
                <w:lang w:bidi="ar"/>
              </w:rPr>
              <w:t>柱子主方管为40mm*80mm*厚度3mm；次管为40mm*80mm*厚度3mm；</w:t>
            </w:r>
          </w:p>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地面安装不小于400mm*400mm*5mm铁板，14#化学锚铨，材质为全铁，表面哑光黑色/银色烤漆，桁架总宽度为18m，深度为6m，高度为7.6m，6根立柱，3条横梁，2条纵梁，5条支撑方管。</w:t>
            </w:r>
            <w:r>
              <w:rPr>
                <w:rFonts w:hint="eastAsia" w:cs="仿宋" w:asciiTheme="minorEastAsia" w:hAnsiTheme="minorEastAsia"/>
                <w:szCs w:val="21"/>
                <w:lang w:bidi="ar"/>
              </w:rPr>
              <w:br w:type="textWrapping"/>
            </w:r>
            <w:r>
              <w:rPr>
                <w:rFonts w:hint="eastAsia" w:cs="仿宋" w:asciiTheme="minorEastAsia" w:hAnsiTheme="minorEastAsia"/>
                <w:szCs w:val="21"/>
                <w:lang w:bidi="ar"/>
              </w:rPr>
              <w:t>1.柱子与柱子之间梁中间提高到20-30公分，现场条件允许下可以上面用钢丝绳望下垂钓；</w:t>
            </w:r>
            <w:r>
              <w:rPr>
                <w:rFonts w:hint="eastAsia" w:cs="仿宋" w:asciiTheme="minorEastAsia" w:hAnsiTheme="minorEastAsia"/>
                <w:szCs w:val="21"/>
                <w:lang w:bidi="ar"/>
              </w:rPr>
              <w:br w:type="textWrapping"/>
            </w:r>
            <w:r>
              <w:rPr>
                <w:rFonts w:hint="eastAsia" w:cs="仿宋" w:asciiTheme="minorEastAsia" w:hAnsiTheme="minorEastAsia"/>
                <w:szCs w:val="21"/>
                <w:lang w:bidi="ar"/>
              </w:rPr>
              <w:t>2.柱子下面用铁板固定，现场条件允许下可以打八字脚</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37" w:hRule="atLeast"/>
          <w:jc w:val="center"/>
        </w:trPr>
        <w:tc>
          <w:tcPr>
            <w:tcW w:w="10206"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b/>
                <w:bCs/>
                <w:szCs w:val="21"/>
                <w:lang w:bidi="ar"/>
              </w:rPr>
              <w:t>三</w:t>
            </w:r>
            <w:r>
              <w:rPr>
                <w:rFonts w:hint="eastAsia" w:cs="仿宋" w:asciiTheme="minorEastAsia" w:hAnsiTheme="minorEastAsia"/>
                <w:b/>
                <w:bCs/>
                <w:szCs w:val="21"/>
              </w:rPr>
              <w:t>、</w:t>
            </w:r>
            <w:r>
              <w:rPr>
                <w:rFonts w:hint="eastAsia" w:cs="仿宋" w:asciiTheme="minorEastAsia" w:hAnsiTheme="minorEastAsia"/>
                <w:b/>
                <w:bCs/>
                <w:szCs w:val="21"/>
                <w:lang w:bidi="ar"/>
              </w:rPr>
              <w:t>舞台设备</w:t>
            </w:r>
          </w:p>
        </w:tc>
      </w:tr>
      <w:tr>
        <w:tblPrEx>
          <w:tblLayout w:type="fixed"/>
          <w:tblCellMar>
            <w:top w:w="0" w:type="dxa"/>
            <w:left w:w="108" w:type="dxa"/>
            <w:bottom w:w="0" w:type="dxa"/>
            <w:right w:w="108" w:type="dxa"/>
          </w:tblCellMar>
        </w:tblPrEx>
        <w:trPr>
          <w:trHeight w:val="7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数字反馈抑制处理器</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1.采用先进的DSP芯片，内置高级防啸叫及尾音处理算法，无尾音失真，声音干净利落</w:t>
            </w:r>
            <w:r>
              <w:rPr>
                <w:rFonts w:hint="eastAsia" w:cs="仿宋" w:asciiTheme="minorEastAsia" w:hAnsiTheme="minorEastAsia"/>
                <w:szCs w:val="21"/>
                <w:lang w:bidi="ar"/>
              </w:rPr>
              <w:br w:type="textWrapping"/>
            </w:r>
            <w:r>
              <w:rPr>
                <w:rFonts w:hint="eastAsia" w:cs="仿宋" w:asciiTheme="minorEastAsia" w:hAnsiTheme="minorEastAsia"/>
                <w:szCs w:val="21"/>
                <w:lang w:bidi="ar"/>
              </w:rPr>
              <w:t>2.话筒增益可提升8-12dB，拾音距离增加50-100cm</w:t>
            </w:r>
            <w:r>
              <w:rPr>
                <w:rFonts w:hint="eastAsia" w:cs="仿宋" w:asciiTheme="minorEastAsia" w:hAnsiTheme="minorEastAsia"/>
                <w:szCs w:val="21"/>
                <w:lang w:bidi="ar"/>
              </w:rPr>
              <w:br w:type="textWrapping"/>
            </w:r>
            <w:r>
              <w:rPr>
                <w:rFonts w:hint="eastAsia" w:cs="仿宋" w:asciiTheme="minorEastAsia" w:hAnsiTheme="minorEastAsia"/>
                <w:szCs w:val="21"/>
                <w:lang w:bidi="ar"/>
              </w:rPr>
              <w:t>3.可以识别音箱的声音，可以把音箱返回话筒的声音完全过滤掉而把人说话的声音通过</w:t>
            </w:r>
            <w:r>
              <w:rPr>
                <w:rFonts w:hint="eastAsia" w:cs="仿宋" w:asciiTheme="minorEastAsia" w:hAnsiTheme="minorEastAsia"/>
                <w:szCs w:val="21"/>
                <w:lang w:bidi="ar"/>
              </w:rPr>
              <w:br w:type="textWrapping"/>
            </w:r>
            <w:r>
              <w:rPr>
                <w:rFonts w:hint="eastAsia" w:cs="仿宋" w:asciiTheme="minorEastAsia" w:hAnsiTheme="minorEastAsia"/>
                <w:szCs w:val="21"/>
                <w:lang w:bidi="ar"/>
              </w:rPr>
              <w:t>4.使用高性能的浮点DSP 实现了反馈抑制、噪声抑制、自动音量调节和频率均衡控制等功能</w:t>
            </w:r>
            <w:r>
              <w:rPr>
                <w:rFonts w:hint="eastAsia" w:cs="仿宋" w:asciiTheme="minorEastAsia" w:hAnsiTheme="minorEastAsia"/>
                <w:szCs w:val="21"/>
                <w:lang w:bidi="ar"/>
              </w:rPr>
              <w:br w:type="textWrapping"/>
            </w:r>
            <w:r>
              <w:rPr>
                <w:rFonts w:hint="eastAsia" w:cs="仿宋" w:asciiTheme="minorEastAsia" w:hAnsiTheme="minorEastAsia"/>
                <w:szCs w:val="21"/>
                <w:lang w:bidi="ar"/>
              </w:rPr>
              <w:t>5.采用LCD液晶显示屏，操作简单，48V开关，自动混音，旁路功能可调</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557"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特高频天线分配系统</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 xml:space="preserve">1.频率响应：470-900MHz </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2.分配端口增益：10dB                                                                                                          </w:t>
            </w:r>
            <w:r>
              <w:rPr>
                <w:rFonts w:hint="eastAsia" w:cs="仿宋" w:asciiTheme="minorEastAsia" w:hAnsiTheme="minorEastAsia"/>
                <w:szCs w:val="21"/>
                <w:lang w:bidi="ar"/>
              </w:rPr>
              <w:br w:type="textWrapping"/>
            </w:r>
            <w:r>
              <w:rPr>
                <w:rFonts w:hint="eastAsia" w:cs="仿宋" w:asciiTheme="minorEastAsia" w:hAnsiTheme="minorEastAsia"/>
                <w:szCs w:val="21"/>
                <w:lang w:bidi="ar"/>
              </w:rPr>
              <w:t>3.级连端口增益：8dB                                                                                                                               4.阻抗：50ohms                                                                                                                                  5.驻波比：1.5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06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无线手持话筒</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1.采用最新的红外自动对频技术（IR)，操作和设置更便易懂</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2.采用数字音码锁定技术，有效阻隔使用环境中的杂讯和干扰                                           </w:t>
            </w:r>
            <w:r>
              <w:rPr>
                <w:rFonts w:hint="eastAsia" w:cs="仿宋" w:asciiTheme="minorEastAsia" w:hAnsiTheme="minorEastAsia"/>
                <w:szCs w:val="21"/>
                <w:lang w:bidi="ar"/>
              </w:rPr>
              <w:br w:type="textWrapping"/>
            </w:r>
            <w:r>
              <w:rPr>
                <w:rFonts w:hint="eastAsia" w:cs="仿宋" w:asciiTheme="minorEastAsia" w:hAnsiTheme="minorEastAsia"/>
                <w:szCs w:val="21"/>
                <w:lang w:bidi="ar"/>
              </w:rPr>
              <w:t>3.双通道UHF无线系统，每通道100个频率可选，频率范围610MHz-670MHz</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4.全金属外壳设计，耐用性电镀管体结构，坚固、抗摔、耐磨，单元可以互换使用                           </w:t>
            </w:r>
            <w:r>
              <w:rPr>
                <w:rFonts w:hint="eastAsia" w:cs="仿宋" w:asciiTheme="minorEastAsia" w:hAnsiTheme="minorEastAsia"/>
                <w:szCs w:val="21"/>
                <w:lang w:bidi="ar"/>
              </w:rPr>
              <w:br w:type="textWrapping"/>
            </w:r>
            <w:r>
              <w:rPr>
                <w:rFonts w:hint="eastAsia" w:cs="仿宋" w:asciiTheme="minorEastAsia" w:hAnsiTheme="minorEastAsia"/>
                <w:szCs w:val="21"/>
                <w:lang w:bidi="ar"/>
              </w:rPr>
              <w:t>5.信道数目: 200个</w:t>
            </w:r>
            <w:r>
              <w:rPr>
                <w:rFonts w:hint="eastAsia" w:cs="仿宋" w:asciiTheme="minorEastAsia" w:hAnsiTheme="minorEastAsia"/>
                <w:szCs w:val="21"/>
                <w:lang w:bidi="ar"/>
              </w:rPr>
              <w:br w:type="textWrapping"/>
            </w:r>
            <w:r>
              <w:rPr>
                <w:rFonts w:hint="eastAsia" w:cs="仿宋" w:asciiTheme="minorEastAsia" w:hAnsiTheme="minorEastAsia"/>
                <w:szCs w:val="21"/>
                <w:lang w:bidi="ar"/>
              </w:rPr>
              <w:t>6.动态范围: &gt;110dB</w:t>
            </w:r>
            <w:r>
              <w:rPr>
                <w:rFonts w:hint="eastAsia" w:cs="仿宋" w:asciiTheme="minorEastAsia" w:hAnsiTheme="minorEastAsia"/>
                <w:szCs w:val="21"/>
                <w:lang w:bidi="ar"/>
              </w:rPr>
              <w:br w:type="textWrapping"/>
            </w:r>
            <w:r>
              <w:rPr>
                <w:rFonts w:hint="eastAsia" w:cs="仿宋" w:asciiTheme="minorEastAsia" w:hAnsiTheme="minorEastAsia"/>
                <w:szCs w:val="21"/>
                <w:lang w:bidi="ar"/>
              </w:rPr>
              <w:t>7.音频响应: 60HZ-18KHZ(±3dB)</w:t>
            </w:r>
            <w:r>
              <w:rPr>
                <w:rFonts w:hint="eastAsia" w:cs="仿宋" w:asciiTheme="minorEastAsia" w:hAnsiTheme="minorEastAsia"/>
                <w:szCs w:val="21"/>
                <w:lang w:bidi="ar"/>
              </w:rPr>
              <w:br w:type="textWrapping"/>
            </w:r>
            <w:r>
              <w:rPr>
                <w:rFonts w:hint="eastAsia" w:cs="仿宋" w:asciiTheme="minorEastAsia" w:hAnsiTheme="minorEastAsia"/>
                <w:szCs w:val="21"/>
                <w:lang w:bidi="ar"/>
              </w:rPr>
              <w:t>8.综合信噪比: &gt;105dB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134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无线头戴话筒</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1.采用最新的红外自动对频技术（IR)，操作和设置更便易懂</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2.采用数字音码锁定技术，有效阻隔使用环境中的杂讯和干扰                                           </w:t>
            </w:r>
            <w:r>
              <w:rPr>
                <w:rFonts w:hint="eastAsia" w:cs="仿宋" w:asciiTheme="minorEastAsia" w:hAnsiTheme="minorEastAsia"/>
                <w:szCs w:val="21"/>
                <w:lang w:bidi="ar"/>
              </w:rPr>
              <w:br w:type="textWrapping"/>
            </w:r>
            <w:r>
              <w:rPr>
                <w:rFonts w:hint="eastAsia" w:cs="仿宋" w:asciiTheme="minorEastAsia" w:hAnsiTheme="minorEastAsia"/>
                <w:szCs w:val="21"/>
                <w:lang w:bidi="ar"/>
              </w:rPr>
              <w:t>3.双通道UHF无线系统，每通道100个频率可选，频率范围610MHz-670MHz</w:t>
            </w:r>
            <w:r>
              <w:rPr>
                <w:rFonts w:hint="eastAsia" w:cs="仿宋" w:asciiTheme="minorEastAsia" w:hAnsiTheme="minorEastAsia"/>
                <w:szCs w:val="21"/>
                <w:lang w:bidi="ar"/>
              </w:rPr>
              <w:br w:type="textWrapping"/>
            </w:r>
            <w:r>
              <w:rPr>
                <w:rFonts w:hint="eastAsia" w:cs="仿宋" w:asciiTheme="minorEastAsia" w:hAnsiTheme="minorEastAsia"/>
                <w:szCs w:val="21"/>
                <w:lang w:bidi="ar"/>
              </w:rPr>
              <w:t xml:space="preserve">4.全金属外壳设计，耐用性电镀管体结构，坚固、抗摔、耐磨，单元可以互换使用                           </w:t>
            </w:r>
            <w:r>
              <w:rPr>
                <w:rFonts w:hint="eastAsia" w:cs="仿宋" w:asciiTheme="minorEastAsia" w:hAnsiTheme="minorEastAsia"/>
                <w:szCs w:val="21"/>
                <w:lang w:bidi="ar"/>
              </w:rPr>
              <w:br w:type="textWrapping"/>
            </w:r>
            <w:r>
              <w:rPr>
                <w:rFonts w:hint="eastAsia" w:cs="仿宋" w:asciiTheme="minorEastAsia" w:hAnsiTheme="minorEastAsia"/>
                <w:szCs w:val="21"/>
                <w:lang w:bidi="ar"/>
              </w:rPr>
              <w:t>5.信道数目: 200个</w:t>
            </w:r>
            <w:r>
              <w:rPr>
                <w:rFonts w:hint="eastAsia" w:cs="仿宋" w:asciiTheme="minorEastAsia" w:hAnsiTheme="minorEastAsia"/>
                <w:szCs w:val="21"/>
                <w:lang w:bidi="ar"/>
              </w:rPr>
              <w:br w:type="textWrapping"/>
            </w:r>
            <w:r>
              <w:rPr>
                <w:rFonts w:hint="eastAsia" w:cs="仿宋" w:asciiTheme="minorEastAsia" w:hAnsiTheme="minorEastAsia"/>
                <w:szCs w:val="21"/>
                <w:lang w:bidi="ar"/>
              </w:rPr>
              <w:t>6.动态范围: &gt;110dB</w:t>
            </w:r>
            <w:r>
              <w:rPr>
                <w:rFonts w:hint="eastAsia" w:cs="仿宋" w:asciiTheme="minorEastAsia" w:hAnsiTheme="minorEastAsia"/>
                <w:szCs w:val="21"/>
                <w:lang w:bidi="ar"/>
              </w:rPr>
              <w:br w:type="textWrapping"/>
            </w:r>
            <w:r>
              <w:rPr>
                <w:rFonts w:hint="eastAsia" w:cs="仿宋" w:asciiTheme="minorEastAsia" w:hAnsiTheme="minorEastAsia"/>
                <w:szCs w:val="21"/>
                <w:lang w:bidi="ar"/>
              </w:rPr>
              <w:t>7.音频响应: 60HZ-18KHZ(±3dB)</w:t>
            </w:r>
            <w:r>
              <w:rPr>
                <w:rFonts w:hint="eastAsia" w:cs="仿宋" w:asciiTheme="minorEastAsia" w:hAnsiTheme="minorEastAsia"/>
                <w:szCs w:val="21"/>
                <w:lang w:bidi="ar"/>
              </w:rPr>
              <w:br w:type="textWrapping"/>
            </w:r>
            <w:r>
              <w:rPr>
                <w:rFonts w:hint="eastAsia" w:cs="仿宋" w:asciiTheme="minorEastAsia" w:hAnsiTheme="minorEastAsia"/>
                <w:szCs w:val="21"/>
                <w:lang w:bidi="ar"/>
              </w:rPr>
              <w:t>8.综合信噪比: &gt;105dB</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60" w:hRule="atLeast"/>
          <w:jc w:val="center"/>
        </w:trPr>
        <w:tc>
          <w:tcPr>
            <w:tcW w:w="10206"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b/>
                <w:bCs/>
                <w:szCs w:val="21"/>
                <w:lang w:bidi="ar"/>
              </w:rPr>
              <w:t>四</w:t>
            </w:r>
            <w:r>
              <w:rPr>
                <w:rFonts w:hint="eastAsia" w:cs="仿宋" w:asciiTheme="minorEastAsia" w:hAnsiTheme="minorEastAsia"/>
                <w:b/>
                <w:bCs/>
                <w:szCs w:val="21"/>
              </w:rPr>
              <w:t>、</w:t>
            </w:r>
            <w:r>
              <w:rPr>
                <w:rFonts w:hint="eastAsia" w:cs="仿宋" w:asciiTheme="minorEastAsia" w:hAnsiTheme="minorEastAsia"/>
                <w:b/>
                <w:bCs/>
                <w:szCs w:val="21"/>
                <w:lang w:bidi="ar"/>
              </w:rPr>
              <w:t>配件辅材</w:t>
            </w:r>
          </w:p>
        </w:tc>
      </w:tr>
      <w:tr>
        <w:tblPrEx>
          <w:tblLayout w:type="fixed"/>
          <w:tblCellMar>
            <w:top w:w="0" w:type="dxa"/>
            <w:left w:w="108" w:type="dxa"/>
            <w:bottom w:w="0" w:type="dxa"/>
            <w:right w:w="108" w:type="dxa"/>
          </w:tblCellMar>
        </w:tblPrEx>
        <w:trPr>
          <w:trHeight w:val="66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专用电源电缆</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电源线 RVV 电线电缆国标纯铜环保 RVV3*2.5</w:t>
            </w:r>
            <w:r>
              <w:rPr>
                <w:rFonts w:hint="eastAsia" w:cs="Times New Roman" w:asciiTheme="minorEastAsia" w:hAnsiTheme="minorEastAsia"/>
                <w:szCs w:val="21"/>
              </w:rPr>
              <w:t>平方毫米</w:t>
            </w:r>
            <w:r>
              <w:rPr>
                <w:rFonts w:hint="eastAsia" w:cs="仿宋" w:asciiTheme="minorEastAsia" w:hAnsiTheme="minorEastAsia"/>
                <w:szCs w:val="21"/>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47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灯具灯钩</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铝制</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545"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灯具保险链</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钢丝绳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33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575"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电缆接插件</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10A</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6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DMX512信号线</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DMX512信号传输，2*0.5平方毫米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200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60"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卡侬接头</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信号接头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45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714"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灯具跳线</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灯具信号跳线、电源跳线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766"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音频跳线</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音频跳线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921" w:hRule="atLeast"/>
          <w:jc w:val="center"/>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音频接头</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cs="仿宋" w:asciiTheme="minorEastAsia" w:hAnsiTheme="minorEastAsia"/>
                <w:szCs w:val="21"/>
              </w:rPr>
            </w:pPr>
            <w:r>
              <w:rPr>
                <w:rFonts w:hint="eastAsia" w:cs="仿宋" w:asciiTheme="minorEastAsia" w:hAnsiTheme="minorEastAsia"/>
                <w:szCs w:val="21"/>
                <w:lang w:bidi="ar"/>
              </w:rPr>
              <w:t>音频接头</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cs="仿宋" w:asciiTheme="minorEastAsia" w:hAnsiTheme="minorEastAsia"/>
                <w:szCs w:val="21"/>
              </w:rPr>
            </w:pPr>
            <w:r>
              <w:rPr>
                <w:rFonts w:hint="eastAsia" w:cs="仿宋" w:asciiTheme="minorEastAsia" w:hAnsiTheme="minorEastAsia"/>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r>
              <w:rPr>
                <w:rFonts w:hint="eastAsia" w:cs="仿宋" w:asciiTheme="minorEastAsia" w:hAnsiTheme="minorEastAsia"/>
                <w:szCs w:val="21"/>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szCs w:val="21"/>
                <w:lang w:bidi="ar"/>
              </w:rPr>
            </w:pPr>
          </w:p>
        </w:tc>
      </w:tr>
      <w:tr>
        <w:tblPrEx>
          <w:tblLayout w:type="fixed"/>
          <w:tblCellMar>
            <w:top w:w="0" w:type="dxa"/>
            <w:left w:w="108" w:type="dxa"/>
            <w:bottom w:w="0" w:type="dxa"/>
            <w:right w:w="108" w:type="dxa"/>
          </w:tblCellMar>
        </w:tblPrEx>
        <w:trPr>
          <w:trHeight w:val="603" w:hRule="atLeast"/>
          <w:jc w:val="center"/>
        </w:trPr>
        <w:tc>
          <w:tcPr>
            <w:tcW w:w="10206"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cs="仿宋" w:asciiTheme="minorEastAsia" w:hAnsiTheme="minorEastAsia"/>
                <w:b/>
                <w:bCs/>
                <w:szCs w:val="21"/>
                <w:lang w:bidi="ar"/>
              </w:rPr>
            </w:pPr>
            <w:r>
              <w:rPr>
                <w:rFonts w:hint="eastAsia" w:cs="仿宋" w:asciiTheme="minorEastAsia" w:hAnsiTheme="minorEastAsia"/>
                <w:b/>
                <w:bCs/>
                <w:szCs w:val="21"/>
                <w:lang w:bidi="ar"/>
              </w:rPr>
              <w:t>合计（各项小计之和）：人民币</w:t>
            </w:r>
            <w:r>
              <w:rPr>
                <w:rFonts w:hint="eastAsia" w:cs="仿宋" w:asciiTheme="minorEastAsia" w:hAnsiTheme="minorEastAsia"/>
                <w:b/>
                <w:bCs/>
                <w:szCs w:val="21"/>
                <w:u w:val="single"/>
                <w:lang w:bidi="ar"/>
              </w:rPr>
              <w:t xml:space="preserve">       </w:t>
            </w:r>
            <w:r>
              <w:rPr>
                <w:rFonts w:hint="eastAsia" w:cs="仿宋" w:asciiTheme="minorEastAsia" w:hAnsiTheme="minorEastAsia"/>
                <w:b/>
                <w:bCs/>
                <w:szCs w:val="21"/>
                <w:lang w:bidi="ar"/>
              </w:rPr>
              <w:t>元</w:t>
            </w:r>
          </w:p>
        </w:tc>
      </w:tr>
    </w:tbl>
    <w:p>
      <w:pPr>
        <w:pStyle w:val="28"/>
        <w:numPr>
          <w:ilvl w:val="0"/>
          <w:numId w:val="17"/>
        </w:numPr>
        <w:snapToGrid w:val="0"/>
        <w:spacing w:line="360" w:lineRule="auto"/>
        <w:ind w:firstLineChars="0"/>
        <w:rPr>
          <w:rFonts w:hint="eastAsia" w:asciiTheme="minorEastAsia" w:hAnsiTheme="minorEastAsia"/>
          <w:b/>
          <w:color w:val="000000"/>
          <w:sz w:val="24"/>
          <w:szCs w:val="24"/>
        </w:rPr>
      </w:pPr>
      <w:r>
        <w:rPr>
          <w:rFonts w:hint="eastAsia" w:cs="Times New Roman" w:asciiTheme="minorEastAsia" w:hAnsiTheme="minorEastAsia"/>
          <w:b/>
          <w:color w:val="000000"/>
          <w:sz w:val="24"/>
          <w:szCs w:val="24"/>
        </w:rPr>
        <w:t>商务要求</w:t>
      </w:r>
    </w:p>
    <w:p>
      <w:pPr>
        <w:tabs>
          <w:tab w:val="left" w:pos="567"/>
        </w:tabs>
        <w:adjustRightInd w:val="0"/>
        <w:snapToGrid w:val="0"/>
        <w:spacing w:line="360" w:lineRule="auto"/>
        <w:ind w:firstLine="482" w:firstLineChars="200"/>
        <w:textAlignment w:val="baseline"/>
        <w:rPr>
          <w:rFonts w:hint="eastAsia" w:cs="宋体" w:asciiTheme="minorEastAsia" w:hAnsiTheme="minorEastAsia"/>
          <w:b/>
          <w:bCs/>
          <w:sz w:val="24"/>
          <w:szCs w:val="24"/>
        </w:rPr>
      </w:pPr>
      <w:r>
        <w:rPr>
          <w:rFonts w:hint="eastAsia" w:cs="宋体" w:asciiTheme="minorEastAsia" w:hAnsiTheme="minorEastAsia"/>
          <w:b/>
          <w:bCs/>
          <w:sz w:val="24"/>
          <w:szCs w:val="24"/>
        </w:rPr>
        <w:t>（一）实施的时间和地点</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1、交付的期限：合同签订后30个自然日完成设备安装调试并通过验收交付使用。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2、交付的地点：广东省从化监狱狱内文体馆。</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3、设备验收：</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设备验收在甲方和乙方双方共同参与下按国家有关的规定、规范进行；必要时邀请相关的专业人员或机构参与验收。因货物质量问题发生争议时，由本地质量技术监督部门鉴定。货物符合质量技术标准的，鉴定费由甲方承担；否则鉴定费由乙方承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（2）货物在现场的保管由乙方负责，直至项目安装、验收完毕。</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验收时如发现所交付的设备有短缺、次品、损坏或其它不符合本项目合同规定之情形者，甲方应作出详尽的现场记录，或由甲方、乙方双方签署备忘录。此现场记录或备忘录可用作补充、缺失和更换损坏部件的有效证据。因此产生的有关费用由乙方承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（4）如果合同设备运输和安装过程中因事故造成货物短缺、损坏，乙方应及时安排补货、换货，以保证合同设备安装的成功完成。换货的相关费用由乙方承担。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（5）乙方保证合同项下提供的货物（或设备）不侵犯任何第三方的专利、商标或版权。否则，乙方须承担对第三方的专利或版权的侵权责任并承担因此而发生的所有费用。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（6）交付验收标准依次序对照适用标准：</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①符合中华人民共和国国家安全质量标准、环保标准或行业标准。</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②符合响应承诺中甲方认可的合理最佳配置、参数及各项要求。</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4、设备要求：</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乙方应保证提供的货物（或设备）是全新、未使用过的原装合格产品，并完全符合生产厂家或国家规定的质量、规格和性能的要求。整机无污染，无侵权行为、表面无划损、无任何缺陷隐患，在中国境内安全合法使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（2）货物为原厂商未启封全新包装，具有出厂合格证，序列号、包装箱号与出厂批号一致，并可追索查阅。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（3）有关键主机设备的用户手册、保修手册、有关单证资料及配备件、随机工具等，使用操作及安全须知等重要资料应附有中文说明。</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履约保证金：</w:t>
      </w:r>
    </w:p>
    <w:p>
      <w:pPr>
        <w:tabs>
          <w:tab w:val="left" w:pos="567"/>
        </w:tabs>
        <w:adjustRightInd w:val="0"/>
        <w:snapToGrid w:val="0"/>
        <w:spacing w:line="360" w:lineRule="auto"/>
        <w:ind w:firstLine="482" w:firstLineChars="200"/>
        <w:textAlignment w:val="baseline"/>
        <w:rPr>
          <w:rFonts w:hint="eastAsia" w:cs="宋体" w:asciiTheme="minorEastAsia" w:hAnsiTheme="minorEastAsia"/>
          <w:b/>
          <w:bCs/>
          <w:sz w:val="24"/>
          <w:szCs w:val="24"/>
        </w:rPr>
      </w:pPr>
      <w:r>
        <w:rPr>
          <w:rFonts w:hint="eastAsia" w:cs="宋体" w:asciiTheme="minorEastAsia" w:hAnsiTheme="minorEastAsia"/>
          <w:b/>
          <w:bCs/>
          <w:sz w:val="24"/>
          <w:szCs w:val="24"/>
        </w:rPr>
        <w:t>（一）提交说明</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1、时间：合同签订之日起5个工作日内；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2、金额：合同总金额的5%；</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3、方式：银行转账或支票。</w:t>
      </w:r>
    </w:p>
    <w:p>
      <w:pPr>
        <w:tabs>
          <w:tab w:val="left" w:pos="567"/>
        </w:tabs>
        <w:adjustRightInd w:val="0"/>
        <w:snapToGrid w:val="0"/>
        <w:spacing w:line="360" w:lineRule="auto"/>
        <w:ind w:firstLine="482" w:firstLineChars="200"/>
        <w:textAlignment w:val="baseline"/>
        <w:rPr>
          <w:rFonts w:hint="eastAsia" w:cs="宋体" w:asciiTheme="minorEastAsia" w:hAnsiTheme="minorEastAsia"/>
          <w:b/>
          <w:bCs/>
          <w:sz w:val="24"/>
          <w:szCs w:val="24"/>
        </w:rPr>
      </w:pPr>
      <w:r>
        <w:rPr>
          <w:rFonts w:hint="eastAsia" w:cs="宋体" w:asciiTheme="minorEastAsia" w:hAnsiTheme="minorEastAsia"/>
          <w:b/>
          <w:bCs/>
          <w:sz w:val="24"/>
          <w:szCs w:val="24"/>
        </w:rPr>
        <w:t>（二）退还及扣除说明：</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1、时间、方式和条件：乙方履行完成合同约定权利义务事项之日起15个工作日内退还。不计利息。</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2、乙方违反合同及其附件约定的任何义务，甲方有权在履约保证金中直接扣除乙方应向甲方支付的违约金或损失赔偿额，如有不足的，乙方应对超过的部分予以赔偿。</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（三）发生以下情形之一，经调查属实的，扣除10%履约保证金：</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1、未按要求随货提供相关票证；</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2、未按甲方指定地点送货；</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3、货物出现质量问题，乙方不积极配合查找原因，不及时反馈处理结果。</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（四）发生以下情形之一，经调查属实的，扣除20%履约保证金：</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1、供应货物品种、品牌、型号规格或质量等级与合同不符；</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2、发生退货或未按甲方采购计划数量、时间供应；</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3、同一品种货物连续两次验收发现质量不合格产品并退货；</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4、在包装、运输等环节不符合安全要求。</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（五）发生以下情形，经调查属实的，扣除50%履约保证金：</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乙方的工作人员不遵守甲方管理规定造成社会不良影响的。</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（六）乙方未能在约定的交付期限内交付的，从逾期之日起每日按合同总价3‰的数额向甲方支付违约金；逾期半个月以上的，甲方有权终止合同，由此造成的甲方经济损失由乙方承担。</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（七）如在合同执行期间因乙方违约导致履约保证金部分或全部扣除，乙方需在五个工作日内将扣除的履约保证金补齐，否则,视为乙方毁约，甲方有权终止合同。</w:t>
      </w:r>
    </w:p>
    <w:p>
      <w:pPr>
        <w:pStyle w:val="12"/>
        <w:tabs>
          <w:tab w:val="left" w:pos="540"/>
        </w:tabs>
        <w:adjustRightInd w:val="0"/>
        <w:snapToGrid w:val="0"/>
        <w:spacing w:line="360" w:lineRule="auto"/>
        <w:ind w:firstLine="482" w:firstLineChars="200"/>
        <w:rPr>
          <w:rFonts w:hint="eastAsia"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（八）如乙方在合同执行过程需终止执行合同的，需提前10个自然日以书面形式告知甲方，否则按单方面终止执行合同处理，履约保证金不退还，且乙方需承担赔偿甲方因此造成的损失。</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包装和运输</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（一）乙方应提供运送至交付地点所需要的包装，包装应符合经济、牢固、美观的要求，采取防潮、防晒、防锈、防震及防止其它损坏的必要措施，以防止货物在运转中损坏或变质。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（二）运输包装应根据产品的特点及国家相关标准标注有相应的运输标志。</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（三）乙方负责将货物运输并卸载到甲方指定地点。</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Times New Roman" w:asciiTheme="minorEastAsia" w:hAnsiTheme="minorEastAsia"/>
          <w:b/>
          <w:color w:val="000000"/>
          <w:sz w:val="24"/>
          <w:szCs w:val="24"/>
        </w:rPr>
        <w:t>售后服务</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（一）质保期</w:t>
      </w:r>
    </w:p>
    <w:p>
      <w:pPr>
        <w:tabs>
          <w:tab w:val="left" w:pos="567"/>
        </w:tabs>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1、质量保修范围：由于材料、工艺等问题而导致的产品功能失效、性能下降等缺陷(属于不可抗拒力、甲方人为因素等造成的除外)。</w:t>
      </w:r>
    </w:p>
    <w:p>
      <w:pPr>
        <w:tabs>
          <w:tab w:val="left" w:pos="567"/>
        </w:tabs>
        <w:adjustRightInd w:val="0"/>
        <w:snapToGrid w:val="0"/>
        <w:spacing w:line="360" w:lineRule="auto"/>
        <w:ind w:firstLine="480" w:firstLineChars="200"/>
        <w:jc w:val="left"/>
        <w:textAlignment w:val="baseline"/>
        <w:rPr>
          <w:rFonts w:hint="eastAsia" w:cs="宋体" w:asciiTheme="minorEastAsia" w:hAnsiTheme="minorEastAsia"/>
          <w:sz w:val="24"/>
          <w:szCs w:val="24"/>
        </w:rPr>
      </w:pPr>
      <w:r>
        <w:rPr>
          <w:rFonts w:hint="eastAsia" w:cs="宋体" w:asciiTheme="minorEastAsia" w:hAnsiTheme="minorEastAsia"/>
          <w:sz w:val="24"/>
          <w:szCs w:val="24"/>
        </w:rPr>
        <w:t>2、产品质量保证期：乙方所提供的货物质保期按照生产厂家标准保障</w:t>
      </w:r>
      <w:r>
        <w:rPr>
          <w:rFonts w:hint="eastAsia" w:ascii="宋体" w:hAnsi="宋体" w:eastAsia="宋体" w:cs="宋体"/>
          <w:color w:val="0000FF"/>
          <w:szCs w:val="21"/>
          <w:lang w:eastAsia="zh-CN"/>
        </w:rPr>
        <w:t>（</w:t>
      </w:r>
      <w:r>
        <w:rPr>
          <w:rFonts w:hint="eastAsia" w:cs="宋体" w:asciiTheme="minorEastAsia" w:hAnsiTheme="minorEastAsia"/>
          <w:color w:val="0000FF"/>
          <w:sz w:val="24"/>
          <w:szCs w:val="24"/>
          <w:lang w:val="en-US" w:eastAsia="zh-CN"/>
        </w:rPr>
        <w:t>其中：采购清单第二项舞台机械及第四项配件辅材质保期不少于1年</w:t>
      </w:r>
      <w:r>
        <w:rPr>
          <w:rFonts w:hint="eastAsia" w:cs="宋体" w:asciiTheme="minorEastAsia" w:hAnsiTheme="minorEastAsia"/>
          <w:color w:val="0000FF"/>
          <w:sz w:val="24"/>
          <w:szCs w:val="24"/>
          <w:lang w:eastAsia="zh-CN"/>
        </w:rPr>
        <w:t>）</w:t>
      </w:r>
      <w:r>
        <w:rPr>
          <w:rFonts w:hint="eastAsia" w:cs="宋体" w:asciiTheme="minorEastAsia" w:hAnsiTheme="minorEastAsia"/>
          <w:sz w:val="24"/>
          <w:szCs w:val="24"/>
        </w:rPr>
        <w:t>，应保证在质保期内按照生产厂家的服务标准向甲方提供售后服务（质保期自所有货物安装调试到位并通过最终验收合格并交付使用之日起算，质保期内实行“三包”。）、终身维护（收取工本费）。</w:t>
      </w:r>
      <w:bookmarkStart w:id="4" w:name="_GoBack"/>
      <w:bookmarkEnd w:id="4"/>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3、服务响应时间：对甲方的服务通知，乙方在接报后2小时内响应，24小时内到达现场，48小时内处理完毕。若在48小时内仍未能有效解决，乙方须免费提供同档次的设备予甲方临时使用。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4、质保期内，非甲方人为因素出现的产品质量等问题，由乙方负责包修、包换或包退，并承担由此而产生的一切费用。</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5、所有货物（设备）保修服务方式均为乙方上门保修，即由乙方派员到甲方使用现场维修，由此产生的一切费用均由乙方负责。</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（二）安装与调试</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1、乙方必须依照竞价文件的要求和竞价文件的承诺，将设备、系统安装并调试至正常运行的最佳状态。</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lang w:eastAsia="zh-TW"/>
        </w:rPr>
      </w:pPr>
      <w:r>
        <w:rPr>
          <w:rFonts w:hint="eastAsia" w:cs="宋体" w:asciiTheme="minorEastAsia" w:hAnsiTheme="minorEastAsia"/>
          <w:sz w:val="24"/>
          <w:szCs w:val="24"/>
        </w:rPr>
        <w:t>2、</w:t>
      </w:r>
      <w:r>
        <w:rPr>
          <w:rFonts w:hint="eastAsia" w:cs="宋体" w:asciiTheme="minorEastAsia" w:hAnsiTheme="minorEastAsia"/>
          <w:sz w:val="24"/>
          <w:szCs w:val="24"/>
          <w:lang w:eastAsia="zh-TW"/>
        </w:rPr>
        <w:t>合同设备安装</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（1）乙方负责合同货物（设备）的安装及相关配套，一切费用由乙方负责。</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（2）乙方安装时须对安装场地内的其他设备、设施有良好保护措施。</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付款及结算方式</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（一）全部货物到达交货地点，并安装调试且验收合格后，凭验收合格单或验收合格报告,甲方自收到发票之日起30个工作日内向乙方支付合同总价的100%。</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（二）乙方凭以下有效文件与甲方结算：乙方开具的正式发票、 验收报告（加盖甲方公章）。</w:t>
      </w:r>
    </w:p>
    <w:p>
      <w:pPr>
        <w:tabs>
          <w:tab w:val="left" w:pos="567"/>
        </w:tabs>
        <w:adjustRightInd w:val="0"/>
        <w:snapToGrid w:val="0"/>
        <w:spacing w:line="360" w:lineRule="auto"/>
        <w:ind w:firstLine="480" w:firstLineChars="200"/>
        <w:textAlignment w:val="baseline"/>
        <w:rPr>
          <w:rFonts w:hint="eastAsia" w:cs="宋体" w:asciiTheme="minorEastAsia" w:hAnsiTheme="minorEastAsia"/>
          <w:sz w:val="24"/>
          <w:szCs w:val="24"/>
        </w:rPr>
      </w:pPr>
      <w:r>
        <w:rPr>
          <w:rFonts w:hint="eastAsia" w:cs="宋体" w:asciiTheme="minorEastAsia" w:hAnsiTheme="minorEastAsia"/>
          <w:sz w:val="24"/>
          <w:szCs w:val="24"/>
        </w:rPr>
        <w:t>（三）支付方式：银行转账。</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其他要求</w:t>
      </w:r>
    </w:p>
    <w:p>
      <w:pPr>
        <w:tabs>
          <w:tab w:val="left" w:pos="567"/>
        </w:tabs>
        <w:spacing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外来人员进入监管区大门后，必须保管好《外来人员通行证》或《外来人员临时通行证》，且乙方在合同履约过程中须严格遵守监狱管理制度和保密制度，不得泄露或者不正当使用甲方相关信息，因此造成甲方损失的，应当承担赔偿责任。</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廉洁承诺</w:t>
      </w:r>
    </w:p>
    <w:p>
      <w:pPr>
        <w:pStyle w:val="3"/>
        <w:spacing w:line="360" w:lineRule="auto"/>
        <w:ind w:firstLine="480" w:firstLineChars="200"/>
        <w:rPr>
          <w:rFonts w:hint="eastAsia" w:asciiTheme="minorEastAsia" w:hAnsiTheme="minorEastAsia" w:eastAsiaTheme="minorEastAsia"/>
          <w:b w:val="0"/>
          <w:bCs/>
          <w:i w:val="0"/>
          <w:iCs w:val="0"/>
          <w:sz w:val="24"/>
          <w:szCs w:val="24"/>
        </w:rPr>
      </w:pPr>
      <w:r>
        <w:rPr>
          <w:rFonts w:hint="eastAsia" w:asciiTheme="minorEastAsia" w:hAnsiTheme="minorEastAsia" w:eastAsiaTheme="minorEastAsia"/>
          <w:b w:val="0"/>
          <w:bCs/>
          <w:i w:val="0"/>
          <w:iCs w:val="0"/>
          <w:sz w:val="24"/>
          <w:szCs w:val="24"/>
        </w:rPr>
        <w:t>乙方不得以任何名义和形式向甲方工作人员进行商业贿赂，包括宴请吃饭、提供金钱、馈赠礼品、提供娱乐活动等，以试图获取订单或其他形式的商业利益。</w:t>
      </w:r>
    </w:p>
    <w:p>
      <w:pPr>
        <w:pStyle w:val="28"/>
        <w:numPr>
          <w:ilvl w:val="0"/>
          <w:numId w:val="17"/>
        </w:numPr>
        <w:snapToGrid w:val="0"/>
        <w:spacing w:line="360" w:lineRule="auto"/>
        <w:ind w:firstLineChars="0"/>
        <w:rPr>
          <w:rFonts w:hint="eastAsia" w:cs="宋体" w:asciiTheme="minorEastAsia" w:hAnsiTheme="minorEastAsia"/>
          <w:b/>
          <w:bCs/>
          <w:sz w:val="24"/>
          <w:szCs w:val="24"/>
        </w:rPr>
      </w:pPr>
      <w:r>
        <w:rPr>
          <w:rFonts w:hint="eastAsia" w:cs="宋体" w:asciiTheme="minorEastAsia" w:hAnsiTheme="minorEastAsia"/>
          <w:b/>
          <w:bCs/>
          <w:sz w:val="24"/>
          <w:szCs w:val="24"/>
        </w:rPr>
        <w:t>其他约定事项</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（一）本合同经双方授权代表签字并加盖合同专用章或公章之日起生效，合同生效日期以最后一个签字日为准。</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（二）本合同一式伍份，甲方叁份，乙方贰份，具有相同的法律效力。</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（三）因本合同在履行过程中如发生争议，由甲乙双方友好协商解决；协商不成时，任何一方均有权向甲方住所地人民法院提起诉讼。</w:t>
      </w:r>
    </w:p>
    <w:p>
      <w:pPr>
        <w:tabs>
          <w:tab w:val="left" w:pos="420"/>
        </w:tabs>
        <w:spacing w:line="360" w:lineRule="auto"/>
        <w:ind w:left="7200" w:hanging="7200" w:hangingChars="3000"/>
        <w:rPr>
          <w:rFonts w:hint="eastAsia" w:asciiTheme="minorEastAsia" w:hAnsiTheme="minorEastAsia"/>
          <w:sz w:val="24"/>
        </w:rPr>
      </w:pPr>
    </w:p>
    <w:p>
      <w:pPr>
        <w:tabs>
          <w:tab w:val="left" w:pos="420"/>
        </w:tabs>
        <w:spacing w:line="360" w:lineRule="auto"/>
        <w:ind w:left="7200" w:hanging="7200" w:hangingChars="3000"/>
        <w:rPr>
          <w:rFonts w:hint="eastAsia" w:asciiTheme="minorEastAsia" w:hAnsiTheme="minorEastAsia"/>
          <w:sz w:val="24"/>
          <w:szCs w:val="24"/>
        </w:rPr>
      </w:pPr>
      <w:r>
        <w:rPr>
          <w:rFonts w:hint="eastAsia" w:asciiTheme="minorEastAsia" w:hAnsiTheme="minorEastAsia"/>
          <w:sz w:val="24"/>
          <w:szCs w:val="24"/>
        </w:rPr>
        <w:t>甲方公司（签章）：</w:t>
      </w:r>
      <w:r>
        <w:rPr>
          <w:rFonts w:hint="eastAsia" w:cs="宋体" w:asciiTheme="minorEastAsia" w:hAnsiTheme="minorEastAsia"/>
          <w:b/>
          <w:sz w:val="24"/>
          <w:szCs w:val="24"/>
          <w:shd w:val="clear" w:color="auto" w:fill="FFFFFF"/>
        </w:rPr>
        <w:t xml:space="preserve">广东省从化监狱   </w:t>
      </w:r>
      <w:r>
        <w:rPr>
          <w:rFonts w:hint="eastAsia" w:cs="宋体" w:asciiTheme="minorEastAsia" w:hAnsiTheme="minorEastAsia"/>
          <w:b/>
          <w:shd w:val="clear" w:color="auto" w:fill="FFFFFF"/>
        </w:rPr>
        <w:t xml:space="preserve">        </w:t>
      </w:r>
      <w:r>
        <w:rPr>
          <w:rFonts w:hint="eastAsia" w:asciiTheme="minorEastAsia" w:hAnsiTheme="minorEastAsia"/>
          <w:sz w:val="24"/>
          <w:szCs w:val="24"/>
        </w:rPr>
        <w:t>乙方公司（签章）：</w:t>
      </w:r>
    </w:p>
    <w:p>
      <w:pPr>
        <w:tabs>
          <w:tab w:val="left" w:pos="420"/>
        </w:tabs>
        <w:spacing w:line="360" w:lineRule="auto"/>
        <w:rPr>
          <w:rFonts w:hint="eastAsia" w:asciiTheme="minorEastAsia" w:hAnsiTheme="minorEastAsia"/>
          <w:sz w:val="24"/>
          <w:szCs w:val="24"/>
        </w:rPr>
      </w:pPr>
      <w:r>
        <w:rPr>
          <w:rFonts w:hint="eastAsia" w:asciiTheme="minorEastAsia" w:hAnsiTheme="minorEastAsia"/>
          <w:sz w:val="24"/>
          <w:szCs w:val="24"/>
        </w:rPr>
        <w:t>法定代表人（签字）：                      法定代表人（签字）：</w:t>
      </w:r>
    </w:p>
    <w:p>
      <w:pPr>
        <w:tabs>
          <w:tab w:val="left" w:pos="420"/>
        </w:tabs>
        <w:spacing w:line="360" w:lineRule="auto"/>
        <w:rPr>
          <w:rFonts w:hint="eastAsia" w:asciiTheme="minorEastAsia" w:hAnsiTheme="minorEastAsia"/>
          <w:sz w:val="24"/>
          <w:szCs w:val="24"/>
        </w:rPr>
      </w:pPr>
      <w:r>
        <w:rPr>
          <w:rFonts w:hint="eastAsia" w:asciiTheme="minorEastAsia" w:hAnsiTheme="minorEastAsia"/>
          <w:sz w:val="24"/>
          <w:szCs w:val="24"/>
        </w:rPr>
        <w:t>或授权代表人（签字）：                    或授权代表人（签字）：</w:t>
      </w:r>
    </w:p>
    <w:p>
      <w:pPr>
        <w:spacing w:after="120"/>
        <w:rPr>
          <w:rFonts w:hint="eastAsia" w:asciiTheme="minorEastAsia" w:hAnsiTheme="minorEastAsia"/>
          <w:sz w:val="24"/>
        </w:rPr>
      </w:pPr>
      <w:r>
        <w:rPr>
          <w:rFonts w:hint="eastAsia" w:asciiTheme="minorEastAsia" w:hAnsiTheme="minorEastAsia"/>
          <w:sz w:val="24"/>
        </w:rPr>
        <w:t>开户银行：                                开户银行：</w:t>
      </w:r>
    </w:p>
    <w:p>
      <w:pPr>
        <w:spacing w:after="120"/>
        <w:rPr>
          <w:rFonts w:hint="eastAsia" w:asciiTheme="minorEastAsia" w:hAnsiTheme="minorEastAsia"/>
          <w:sz w:val="24"/>
        </w:rPr>
      </w:pPr>
      <w:r>
        <w:rPr>
          <w:rFonts w:hint="eastAsia" w:asciiTheme="minorEastAsia" w:hAnsiTheme="minorEastAsia"/>
          <w:sz w:val="24"/>
        </w:rPr>
        <w:t>银行账号：                                银行账号：</w:t>
      </w:r>
    </w:p>
    <w:p>
      <w:pPr>
        <w:spacing w:after="120"/>
        <w:rPr>
          <w:rFonts w:hint="eastAsia" w:asciiTheme="minorEastAsia" w:hAnsiTheme="minorEastAsia"/>
        </w:rPr>
      </w:pPr>
      <w:r>
        <w:rPr>
          <w:rFonts w:hint="eastAsia" w:asciiTheme="minorEastAsia" w:hAnsiTheme="minorEastAsia"/>
          <w:sz w:val="24"/>
          <w:szCs w:val="24"/>
        </w:rPr>
        <w:t>日期：2024年    月    日                 日期：2024年   月    日</w:t>
      </w:r>
    </w:p>
    <w:sectPr>
      <w:headerReference r:id="rId4"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7"/>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25214F2"/>
    <w:multiLevelType w:val="multilevel"/>
    <w:tmpl w:val="125214F2"/>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21A7656"/>
    <w:multiLevelType w:val="multilevel"/>
    <w:tmpl w:val="221A7656"/>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5274059E"/>
    <w:multiLevelType w:val="multilevel"/>
    <w:tmpl w:val="5274059E"/>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3">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19083E"/>
    <w:multiLevelType w:val="multilevel"/>
    <w:tmpl w:val="6E19083E"/>
    <w:lvl w:ilvl="0" w:tentative="0">
      <w:start w:val="1"/>
      <w:numFmt w:val="decimal"/>
      <w:suff w:val="space"/>
      <w:lvlText w:val="%1."/>
      <w:lvlJc w:val="left"/>
      <w:pPr>
        <w:ind w:left="420" w:hanging="420"/>
      </w:pPr>
      <w:rPr>
        <w:rFonts w:hint="eastAsia" w:ascii="宋体" w:hAnsi="宋体" w:eastAsia="宋体"/>
        <w:b/>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color w:val="auto"/>
      </w:rPr>
    </w:lvl>
    <w:lvl w:ilvl="1" w:tentative="0">
      <w:start w:val="1"/>
      <w:numFmt w:val="decimalEnclosedCircle"/>
      <w:lvlText w:val="%2"/>
      <w:lvlJc w:val="left"/>
      <w:pPr>
        <w:ind w:left="1620" w:hanging="360"/>
      </w:pPr>
      <w:rPr>
        <w:rFonts w:hint="default" w:hAnsi="宋体" w:cs="宋体"/>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4"/>
  </w:num>
  <w:num w:numId="3">
    <w:abstractNumId w:val="7"/>
  </w:num>
  <w:num w:numId="4">
    <w:abstractNumId w:val="8"/>
  </w:num>
  <w:num w:numId="5">
    <w:abstractNumId w:val="12"/>
  </w:num>
  <w:num w:numId="6">
    <w:abstractNumId w:val="16"/>
  </w:num>
  <w:num w:numId="7">
    <w:abstractNumId w:val="13"/>
  </w:num>
  <w:num w:numId="8">
    <w:abstractNumId w:val="2"/>
  </w:num>
  <w:num w:numId="9">
    <w:abstractNumId w:val="9"/>
  </w:num>
  <w:num w:numId="10">
    <w:abstractNumId w:val="3"/>
  </w:num>
  <w:num w:numId="11">
    <w:abstractNumId w:val="1"/>
  </w:num>
  <w:num w:numId="12">
    <w:abstractNumId w:val="5"/>
  </w:num>
  <w:num w:numId="13">
    <w:abstractNumId w:val="4"/>
  </w:num>
  <w:num w:numId="14">
    <w:abstractNumId w:val="15"/>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128F"/>
    <w:rsid w:val="000025CB"/>
    <w:rsid w:val="0000298A"/>
    <w:rsid w:val="00011A82"/>
    <w:rsid w:val="00011BDC"/>
    <w:rsid w:val="00013989"/>
    <w:rsid w:val="00015379"/>
    <w:rsid w:val="000163AB"/>
    <w:rsid w:val="00021583"/>
    <w:rsid w:val="00025D4C"/>
    <w:rsid w:val="00026648"/>
    <w:rsid w:val="00027036"/>
    <w:rsid w:val="000301D9"/>
    <w:rsid w:val="000320AF"/>
    <w:rsid w:val="00032BAF"/>
    <w:rsid w:val="00033840"/>
    <w:rsid w:val="00033F6D"/>
    <w:rsid w:val="0003450C"/>
    <w:rsid w:val="00035EBD"/>
    <w:rsid w:val="00036745"/>
    <w:rsid w:val="00036966"/>
    <w:rsid w:val="000404B3"/>
    <w:rsid w:val="00042981"/>
    <w:rsid w:val="00042B6B"/>
    <w:rsid w:val="000431C9"/>
    <w:rsid w:val="000433D3"/>
    <w:rsid w:val="00044667"/>
    <w:rsid w:val="00044FAC"/>
    <w:rsid w:val="00045E6F"/>
    <w:rsid w:val="0004630C"/>
    <w:rsid w:val="00047A3C"/>
    <w:rsid w:val="00047BE2"/>
    <w:rsid w:val="000504D8"/>
    <w:rsid w:val="00050534"/>
    <w:rsid w:val="00050BDF"/>
    <w:rsid w:val="00052F33"/>
    <w:rsid w:val="00053978"/>
    <w:rsid w:val="000565F1"/>
    <w:rsid w:val="00056648"/>
    <w:rsid w:val="00057CDB"/>
    <w:rsid w:val="000626A3"/>
    <w:rsid w:val="000627ED"/>
    <w:rsid w:val="0006472A"/>
    <w:rsid w:val="000662EA"/>
    <w:rsid w:val="00072288"/>
    <w:rsid w:val="000722A3"/>
    <w:rsid w:val="00072D57"/>
    <w:rsid w:val="000749D9"/>
    <w:rsid w:val="00075391"/>
    <w:rsid w:val="000770EF"/>
    <w:rsid w:val="00077591"/>
    <w:rsid w:val="00077BE3"/>
    <w:rsid w:val="00077DCD"/>
    <w:rsid w:val="00081C64"/>
    <w:rsid w:val="00082CDE"/>
    <w:rsid w:val="00083BE6"/>
    <w:rsid w:val="00083F81"/>
    <w:rsid w:val="00085274"/>
    <w:rsid w:val="000865B7"/>
    <w:rsid w:val="00086BDC"/>
    <w:rsid w:val="00086FCF"/>
    <w:rsid w:val="000871B6"/>
    <w:rsid w:val="0008725A"/>
    <w:rsid w:val="000923EB"/>
    <w:rsid w:val="0009359E"/>
    <w:rsid w:val="00095332"/>
    <w:rsid w:val="00096921"/>
    <w:rsid w:val="000A40B1"/>
    <w:rsid w:val="000A4640"/>
    <w:rsid w:val="000A55F0"/>
    <w:rsid w:val="000A60D7"/>
    <w:rsid w:val="000B040C"/>
    <w:rsid w:val="000B1334"/>
    <w:rsid w:val="000B20AB"/>
    <w:rsid w:val="000B3A1B"/>
    <w:rsid w:val="000B3F59"/>
    <w:rsid w:val="000B4689"/>
    <w:rsid w:val="000B4815"/>
    <w:rsid w:val="000B586D"/>
    <w:rsid w:val="000B711A"/>
    <w:rsid w:val="000B7DB3"/>
    <w:rsid w:val="000C0863"/>
    <w:rsid w:val="000C08FE"/>
    <w:rsid w:val="000C3B3F"/>
    <w:rsid w:val="000C54DC"/>
    <w:rsid w:val="000C5ABD"/>
    <w:rsid w:val="000C6CF8"/>
    <w:rsid w:val="000D315D"/>
    <w:rsid w:val="000D384B"/>
    <w:rsid w:val="000D3A15"/>
    <w:rsid w:val="000D4055"/>
    <w:rsid w:val="000D40CC"/>
    <w:rsid w:val="000D5632"/>
    <w:rsid w:val="000D582F"/>
    <w:rsid w:val="000D6902"/>
    <w:rsid w:val="000E0620"/>
    <w:rsid w:val="000E08A2"/>
    <w:rsid w:val="000E1199"/>
    <w:rsid w:val="000E235E"/>
    <w:rsid w:val="000E4A6C"/>
    <w:rsid w:val="000E4C42"/>
    <w:rsid w:val="000E571C"/>
    <w:rsid w:val="000F1249"/>
    <w:rsid w:val="000F423D"/>
    <w:rsid w:val="000F7A87"/>
    <w:rsid w:val="00100BF0"/>
    <w:rsid w:val="00103E64"/>
    <w:rsid w:val="00106D89"/>
    <w:rsid w:val="001070FA"/>
    <w:rsid w:val="001071D0"/>
    <w:rsid w:val="00107E2D"/>
    <w:rsid w:val="00111236"/>
    <w:rsid w:val="00114F33"/>
    <w:rsid w:val="0011556A"/>
    <w:rsid w:val="00116EDF"/>
    <w:rsid w:val="00122AAE"/>
    <w:rsid w:val="00123BEA"/>
    <w:rsid w:val="00125F7E"/>
    <w:rsid w:val="00130232"/>
    <w:rsid w:val="001304CF"/>
    <w:rsid w:val="00131EC4"/>
    <w:rsid w:val="0013236B"/>
    <w:rsid w:val="00132C0F"/>
    <w:rsid w:val="001354E6"/>
    <w:rsid w:val="00136DAF"/>
    <w:rsid w:val="0013705D"/>
    <w:rsid w:val="00140AD2"/>
    <w:rsid w:val="00142ED1"/>
    <w:rsid w:val="00142F0D"/>
    <w:rsid w:val="00145AE8"/>
    <w:rsid w:val="001471A6"/>
    <w:rsid w:val="0015053F"/>
    <w:rsid w:val="00154C8A"/>
    <w:rsid w:val="001579E9"/>
    <w:rsid w:val="0016171E"/>
    <w:rsid w:val="00161D34"/>
    <w:rsid w:val="00162FF8"/>
    <w:rsid w:val="00170469"/>
    <w:rsid w:val="001740D8"/>
    <w:rsid w:val="00174407"/>
    <w:rsid w:val="0017532E"/>
    <w:rsid w:val="00175ECB"/>
    <w:rsid w:val="001775AE"/>
    <w:rsid w:val="00181282"/>
    <w:rsid w:val="00182BE9"/>
    <w:rsid w:val="001833F1"/>
    <w:rsid w:val="00183EDD"/>
    <w:rsid w:val="001848CD"/>
    <w:rsid w:val="001862AF"/>
    <w:rsid w:val="001863E0"/>
    <w:rsid w:val="00187C18"/>
    <w:rsid w:val="00190A33"/>
    <w:rsid w:val="001915EA"/>
    <w:rsid w:val="001940F6"/>
    <w:rsid w:val="00194602"/>
    <w:rsid w:val="00197511"/>
    <w:rsid w:val="001A0DDF"/>
    <w:rsid w:val="001A1348"/>
    <w:rsid w:val="001A213D"/>
    <w:rsid w:val="001A3363"/>
    <w:rsid w:val="001A5760"/>
    <w:rsid w:val="001A769F"/>
    <w:rsid w:val="001B0490"/>
    <w:rsid w:val="001B0A70"/>
    <w:rsid w:val="001B4874"/>
    <w:rsid w:val="001B74DB"/>
    <w:rsid w:val="001C071E"/>
    <w:rsid w:val="001C164E"/>
    <w:rsid w:val="001C22E4"/>
    <w:rsid w:val="001C3330"/>
    <w:rsid w:val="001C3B8E"/>
    <w:rsid w:val="001C3D61"/>
    <w:rsid w:val="001C43C7"/>
    <w:rsid w:val="001C55A8"/>
    <w:rsid w:val="001C6BE3"/>
    <w:rsid w:val="001C72BB"/>
    <w:rsid w:val="001C7B44"/>
    <w:rsid w:val="001D0E8D"/>
    <w:rsid w:val="001D1026"/>
    <w:rsid w:val="001D1E24"/>
    <w:rsid w:val="001D267C"/>
    <w:rsid w:val="001D33E6"/>
    <w:rsid w:val="001D3A3A"/>
    <w:rsid w:val="001D3E3B"/>
    <w:rsid w:val="001D6C96"/>
    <w:rsid w:val="001E1062"/>
    <w:rsid w:val="001E35CF"/>
    <w:rsid w:val="001E48AC"/>
    <w:rsid w:val="001E4A0B"/>
    <w:rsid w:val="001E52DE"/>
    <w:rsid w:val="001E52F8"/>
    <w:rsid w:val="001E5C33"/>
    <w:rsid w:val="001F14AD"/>
    <w:rsid w:val="001F1539"/>
    <w:rsid w:val="001F3C01"/>
    <w:rsid w:val="001F3F8C"/>
    <w:rsid w:val="001F4CCC"/>
    <w:rsid w:val="001F53B2"/>
    <w:rsid w:val="001F63A7"/>
    <w:rsid w:val="001F763F"/>
    <w:rsid w:val="00200212"/>
    <w:rsid w:val="0020299D"/>
    <w:rsid w:val="0020378C"/>
    <w:rsid w:val="0020416E"/>
    <w:rsid w:val="002056C6"/>
    <w:rsid w:val="002077B0"/>
    <w:rsid w:val="00207C9F"/>
    <w:rsid w:val="00211B8C"/>
    <w:rsid w:val="00212041"/>
    <w:rsid w:val="00215864"/>
    <w:rsid w:val="00215BFF"/>
    <w:rsid w:val="00215C58"/>
    <w:rsid w:val="002218FB"/>
    <w:rsid w:val="0022219C"/>
    <w:rsid w:val="00223CBC"/>
    <w:rsid w:val="00223EA5"/>
    <w:rsid w:val="00226F4C"/>
    <w:rsid w:val="00231F4A"/>
    <w:rsid w:val="002352A3"/>
    <w:rsid w:val="002368F8"/>
    <w:rsid w:val="00236C74"/>
    <w:rsid w:val="002379C7"/>
    <w:rsid w:val="00240122"/>
    <w:rsid w:val="002410A3"/>
    <w:rsid w:val="00243480"/>
    <w:rsid w:val="0024390D"/>
    <w:rsid w:val="00246791"/>
    <w:rsid w:val="00246A30"/>
    <w:rsid w:val="0025004D"/>
    <w:rsid w:val="002509FF"/>
    <w:rsid w:val="0025177C"/>
    <w:rsid w:val="00251790"/>
    <w:rsid w:val="0025236A"/>
    <w:rsid w:val="00253352"/>
    <w:rsid w:val="00260182"/>
    <w:rsid w:val="00260C05"/>
    <w:rsid w:val="00260D5C"/>
    <w:rsid w:val="00262DAA"/>
    <w:rsid w:val="0026399A"/>
    <w:rsid w:val="00264372"/>
    <w:rsid w:val="0026677E"/>
    <w:rsid w:val="002674A4"/>
    <w:rsid w:val="00270E13"/>
    <w:rsid w:val="00273C5E"/>
    <w:rsid w:val="00274FF8"/>
    <w:rsid w:val="00276078"/>
    <w:rsid w:val="00276EBD"/>
    <w:rsid w:val="00276F88"/>
    <w:rsid w:val="0028118E"/>
    <w:rsid w:val="002818B3"/>
    <w:rsid w:val="00281C95"/>
    <w:rsid w:val="0028203F"/>
    <w:rsid w:val="00283853"/>
    <w:rsid w:val="00283A1B"/>
    <w:rsid w:val="002874F3"/>
    <w:rsid w:val="0029126D"/>
    <w:rsid w:val="002920CA"/>
    <w:rsid w:val="00292255"/>
    <w:rsid w:val="00293EBC"/>
    <w:rsid w:val="002947D8"/>
    <w:rsid w:val="002965BB"/>
    <w:rsid w:val="00297989"/>
    <w:rsid w:val="00297A69"/>
    <w:rsid w:val="002A0AD8"/>
    <w:rsid w:val="002A1D82"/>
    <w:rsid w:val="002A1FE5"/>
    <w:rsid w:val="002A50F6"/>
    <w:rsid w:val="002A610A"/>
    <w:rsid w:val="002A6257"/>
    <w:rsid w:val="002B0C7E"/>
    <w:rsid w:val="002B162C"/>
    <w:rsid w:val="002B1E26"/>
    <w:rsid w:val="002B2247"/>
    <w:rsid w:val="002B2992"/>
    <w:rsid w:val="002B4DF8"/>
    <w:rsid w:val="002B6774"/>
    <w:rsid w:val="002B6EEB"/>
    <w:rsid w:val="002B6F0E"/>
    <w:rsid w:val="002C07BE"/>
    <w:rsid w:val="002C1F33"/>
    <w:rsid w:val="002C232F"/>
    <w:rsid w:val="002C34E9"/>
    <w:rsid w:val="002C3B18"/>
    <w:rsid w:val="002C3D6C"/>
    <w:rsid w:val="002C40C7"/>
    <w:rsid w:val="002C4E8E"/>
    <w:rsid w:val="002C57BE"/>
    <w:rsid w:val="002C7CC8"/>
    <w:rsid w:val="002D064A"/>
    <w:rsid w:val="002D1A9E"/>
    <w:rsid w:val="002D4EBD"/>
    <w:rsid w:val="002D5059"/>
    <w:rsid w:val="002D5B83"/>
    <w:rsid w:val="002E0263"/>
    <w:rsid w:val="002E0D44"/>
    <w:rsid w:val="002E0D7E"/>
    <w:rsid w:val="002E56E3"/>
    <w:rsid w:val="002E61D3"/>
    <w:rsid w:val="002E64DC"/>
    <w:rsid w:val="002E66A9"/>
    <w:rsid w:val="002E6F7F"/>
    <w:rsid w:val="002E7368"/>
    <w:rsid w:val="002E7397"/>
    <w:rsid w:val="002F1A01"/>
    <w:rsid w:val="002F352E"/>
    <w:rsid w:val="002F3DD1"/>
    <w:rsid w:val="002F4A33"/>
    <w:rsid w:val="002F5BEB"/>
    <w:rsid w:val="002F5E3F"/>
    <w:rsid w:val="002F5E67"/>
    <w:rsid w:val="00300EBE"/>
    <w:rsid w:val="003015A6"/>
    <w:rsid w:val="003030EA"/>
    <w:rsid w:val="0030324C"/>
    <w:rsid w:val="003049A1"/>
    <w:rsid w:val="003052F2"/>
    <w:rsid w:val="003057EF"/>
    <w:rsid w:val="00306A6B"/>
    <w:rsid w:val="00307FAE"/>
    <w:rsid w:val="0031356B"/>
    <w:rsid w:val="003138FA"/>
    <w:rsid w:val="003161C4"/>
    <w:rsid w:val="0031752F"/>
    <w:rsid w:val="0031758F"/>
    <w:rsid w:val="00317854"/>
    <w:rsid w:val="00321101"/>
    <w:rsid w:val="003214E9"/>
    <w:rsid w:val="0032150E"/>
    <w:rsid w:val="00322AC9"/>
    <w:rsid w:val="00322D41"/>
    <w:rsid w:val="00324DFA"/>
    <w:rsid w:val="00325E13"/>
    <w:rsid w:val="00327C22"/>
    <w:rsid w:val="003312CB"/>
    <w:rsid w:val="00332AF3"/>
    <w:rsid w:val="00334CFE"/>
    <w:rsid w:val="003354DF"/>
    <w:rsid w:val="00336DBB"/>
    <w:rsid w:val="00336F07"/>
    <w:rsid w:val="00340B96"/>
    <w:rsid w:val="003421A5"/>
    <w:rsid w:val="0034226D"/>
    <w:rsid w:val="003423B7"/>
    <w:rsid w:val="00342E19"/>
    <w:rsid w:val="00342E71"/>
    <w:rsid w:val="00345174"/>
    <w:rsid w:val="00345830"/>
    <w:rsid w:val="00347961"/>
    <w:rsid w:val="003504E2"/>
    <w:rsid w:val="00350B31"/>
    <w:rsid w:val="003535AF"/>
    <w:rsid w:val="00355025"/>
    <w:rsid w:val="00355F34"/>
    <w:rsid w:val="00356FDB"/>
    <w:rsid w:val="0035702F"/>
    <w:rsid w:val="00357C43"/>
    <w:rsid w:val="00361074"/>
    <w:rsid w:val="00362DAB"/>
    <w:rsid w:val="0036312C"/>
    <w:rsid w:val="0036370A"/>
    <w:rsid w:val="00364AA0"/>
    <w:rsid w:val="00365305"/>
    <w:rsid w:val="00366797"/>
    <w:rsid w:val="00367982"/>
    <w:rsid w:val="0037004F"/>
    <w:rsid w:val="00370D5E"/>
    <w:rsid w:val="00370DEC"/>
    <w:rsid w:val="00373559"/>
    <w:rsid w:val="00374060"/>
    <w:rsid w:val="00374110"/>
    <w:rsid w:val="00374256"/>
    <w:rsid w:val="00374D6A"/>
    <w:rsid w:val="003762B8"/>
    <w:rsid w:val="00376FFB"/>
    <w:rsid w:val="003805CC"/>
    <w:rsid w:val="00380987"/>
    <w:rsid w:val="003818F2"/>
    <w:rsid w:val="00381FF3"/>
    <w:rsid w:val="00383905"/>
    <w:rsid w:val="003841F2"/>
    <w:rsid w:val="00384761"/>
    <w:rsid w:val="003852B1"/>
    <w:rsid w:val="003861F1"/>
    <w:rsid w:val="00386CD2"/>
    <w:rsid w:val="003904BE"/>
    <w:rsid w:val="00391217"/>
    <w:rsid w:val="00391438"/>
    <w:rsid w:val="003924E4"/>
    <w:rsid w:val="00392847"/>
    <w:rsid w:val="00393483"/>
    <w:rsid w:val="00393D24"/>
    <w:rsid w:val="003944B2"/>
    <w:rsid w:val="00394537"/>
    <w:rsid w:val="00394606"/>
    <w:rsid w:val="00395A64"/>
    <w:rsid w:val="00395C9C"/>
    <w:rsid w:val="0039660B"/>
    <w:rsid w:val="003A0526"/>
    <w:rsid w:val="003A0E6C"/>
    <w:rsid w:val="003A25D6"/>
    <w:rsid w:val="003A28FC"/>
    <w:rsid w:val="003A2F66"/>
    <w:rsid w:val="003A36A5"/>
    <w:rsid w:val="003A3C0A"/>
    <w:rsid w:val="003A5381"/>
    <w:rsid w:val="003A748E"/>
    <w:rsid w:val="003B00D2"/>
    <w:rsid w:val="003B0A20"/>
    <w:rsid w:val="003B40AE"/>
    <w:rsid w:val="003B48C0"/>
    <w:rsid w:val="003B5D20"/>
    <w:rsid w:val="003C11FC"/>
    <w:rsid w:val="003C13D1"/>
    <w:rsid w:val="003C1A02"/>
    <w:rsid w:val="003C20B0"/>
    <w:rsid w:val="003C38BC"/>
    <w:rsid w:val="003C419C"/>
    <w:rsid w:val="003C6BD4"/>
    <w:rsid w:val="003C77ED"/>
    <w:rsid w:val="003D0868"/>
    <w:rsid w:val="003D1CF5"/>
    <w:rsid w:val="003D2DD8"/>
    <w:rsid w:val="003D2DE8"/>
    <w:rsid w:val="003D357B"/>
    <w:rsid w:val="003D3C42"/>
    <w:rsid w:val="003D5516"/>
    <w:rsid w:val="003D6F06"/>
    <w:rsid w:val="003E0158"/>
    <w:rsid w:val="003E273C"/>
    <w:rsid w:val="003E3E69"/>
    <w:rsid w:val="003E4140"/>
    <w:rsid w:val="003E4BB0"/>
    <w:rsid w:val="003E6AB7"/>
    <w:rsid w:val="003F2EAC"/>
    <w:rsid w:val="003F303D"/>
    <w:rsid w:val="003F38D5"/>
    <w:rsid w:val="003F3EE0"/>
    <w:rsid w:val="003F4281"/>
    <w:rsid w:val="003F61AD"/>
    <w:rsid w:val="003F7214"/>
    <w:rsid w:val="00402C31"/>
    <w:rsid w:val="004038A4"/>
    <w:rsid w:val="00403AB2"/>
    <w:rsid w:val="004040D1"/>
    <w:rsid w:val="00404FA0"/>
    <w:rsid w:val="004053AD"/>
    <w:rsid w:val="004055FE"/>
    <w:rsid w:val="004059C3"/>
    <w:rsid w:val="0040718F"/>
    <w:rsid w:val="00407A0F"/>
    <w:rsid w:val="0041040D"/>
    <w:rsid w:val="004115B2"/>
    <w:rsid w:val="00412749"/>
    <w:rsid w:val="0041274B"/>
    <w:rsid w:val="00412A02"/>
    <w:rsid w:val="00413032"/>
    <w:rsid w:val="00413503"/>
    <w:rsid w:val="004143BC"/>
    <w:rsid w:val="00415DEF"/>
    <w:rsid w:val="004163A4"/>
    <w:rsid w:val="00416873"/>
    <w:rsid w:val="00416FB0"/>
    <w:rsid w:val="004211A3"/>
    <w:rsid w:val="0042291F"/>
    <w:rsid w:val="00425F66"/>
    <w:rsid w:val="00430DD6"/>
    <w:rsid w:val="00431511"/>
    <w:rsid w:val="00431DBE"/>
    <w:rsid w:val="00432B2A"/>
    <w:rsid w:val="00433B9F"/>
    <w:rsid w:val="004362E4"/>
    <w:rsid w:val="004364EE"/>
    <w:rsid w:val="004368D0"/>
    <w:rsid w:val="00436C1D"/>
    <w:rsid w:val="0044467B"/>
    <w:rsid w:val="0044528E"/>
    <w:rsid w:val="004454D3"/>
    <w:rsid w:val="00446EFA"/>
    <w:rsid w:val="00450AE7"/>
    <w:rsid w:val="00450FC6"/>
    <w:rsid w:val="004541CC"/>
    <w:rsid w:val="00455676"/>
    <w:rsid w:val="004556E5"/>
    <w:rsid w:val="00455F13"/>
    <w:rsid w:val="00456ED5"/>
    <w:rsid w:val="00456F7C"/>
    <w:rsid w:val="0045760A"/>
    <w:rsid w:val="004610D7"/>
    <w:rsid w:val="004613B9"/>
    <w:rsid w:val="004668F3"/>
    <w:rsid w:val="0047081D"/>
    <w:rsid w:val="004718F7"/>
    <w:rsid w:val="00472CDB"/>
    <w:rsid w:val="0047438D"/>
    <w:rsid w:val="00475F71"/>
    <w:rsid w:val="004765F8"/>
    <w:rsid w:val="004766C5"/>
    <w:rsid w:val="00476745"/>
    <w:rsid w:val="004767BB"/>
    <w:rsid w:val="00476899"/>
    <w:rsid w:val="00480602"/>
    <w:rsid w:val="00480BB4"/>
    <w:rsid w:val="00480DE1"/>
    <w:rsid w:val="0048571D"/>
    <w:rsid w:val="00485E14"/>
    <w:rsid w:val="004901E5"/>
    <w:rsid w:val="00491492"/>
    <w:rsid w:val="00492B35"/>
    <w:rsid w:val="00493336"/>
    <w:rsid w:val="00494623"/>
    <w:rsid w:val="00496883"/>
    <w:rsid w:val="00497A53"/>
    <w:rsid w:val="004A10CE"/>
    <w:rsid w:val="004A2F42"/>
    <w:rsid w:val="004A315E"/>
    <w:rsid w:val="004A363E"/>
    <w:rsid w:val="004A36A8"/>
    <w:rsid w:val="004A6F5C"/>
    <w:rsid w:val="004A7219"/>
    <w:rsid w:val="004B115E"/>
    <w:rsid w:val="004B34F3"/>
    <w:rsid w:val="004B4136"/>
    <w:rsid w:val="004B57DA"/>
    <w:rsid w:val="004B58A1"/>
    <w:rsid w:val="004B7182"/>
    <w:rsid w:val="004C0101"/>
    <w:rsid w:val="004C0AAD"/>
    <w:rsid w:val="004C1FBA"/>
    <w:rsid w:val="004C1FDC"/>
    <w:rsid w:val="004C24C4"/>
    <w:rsid w:val="004C39F5"/>
    <w:rsid w:val="004C523B"/>
    <w:rsid w:val="004C62F3"/>
    <w:rsid w:val="004D2165"/>
    <w:rsid w:val="004D2A3E"/>
    <w:rsid w:val="004D3363"/>
    <w:rsid w:val="004D359A"/>
    <w:rsid w:val="004D387A"/>
    <w:rsid w:val="004D38A2"/>
    <w:rsid w:val="004D45A4"/>
    <w:rsid w:val="004D491B"/>
    <w:rsid w:val="004D5E5F"/>
    <w:rsid w:val="004D62D3"/>
    <w:rsid w:val="004D6D34"/>
    <w:rsid w:val="004D7E1D"/>
    <w:rsid w:val="004E2D52"/>
    <w:rsid w:val="004E3790"/>
    <w:rsid w:val="004F0C46"/>
    <w:rsid w:val="004F1479"/>
    <w:rsid w:val="004F2862"/>
    <w:rsid w:val="004F2C49"/>
    <w:rsid w:val="004F2F23"/>
    <w:rsid w:val="004F376E"/>
    <w:rsid w:val="004F3B22"/>
    <w:rsid w:val="00501334"/>
    <w:rsid w:val="00501F2E"/>
    <w:rsid w:val="0050263D"/>
    <w:rsid w:val="00506CF4"/>
    <w:rsid w:val="00507A70"/>
    <w:rsid w:val="0051108F"/>
    <w:rsid w:val="005127CC"/>
    <w:rsid w:val="005138FB"/>
    <w:rsid w:val="00513F70"/>
    <w:rsid w:val="00514D0F"/>
    <w:rsid w:val="00516B64"/>
    <w:rsid w:val="00516E1D"/>
    <w:rsid w:val="00517139"/>
    <w:rsid w:val="00521132"/>
    <w:rsid w:val="00521996"/>
    <w:rsid w:val="00522280"/>
    <w:rsid w:val="00525992"/>
    <w:rsid w:val="005274AF"/>
    <w:rsid w:val="005316BD"/>
    <w:rsid w:val="005316D0"/>
    <w:rsid w:val="005338E7"/>
    <w:rsid w:val="00533B92"/>
    <w:rsid w:val="00534680"/>
    <w:rsid w:val="00534CE5"/>
    <w:rsid w:val="00534E1D"/>
    <w:rsid w:val="00534F6E"/>
    <w:rsid w:val="00535EEC"/>
    <w:rsid w:val="005361C1"/>
    <w:rsid w:val="00541A3A"/>
    <w:rsid w:val="00542FC4"/>
    <w:rsid w:val="00543EE5"/>
    <w:rsid w:val="005456E9"/>
    <w:rsid w:val="005462F7"/>
    <w:rsid w:val="00546934"/>
    <w:rsid w:val="00547DF4"/>
    <w:rsid w:val="005521A5"/>
    <w:rsid w:val="00555B34"/>
    <w:rsid w:val="0056095E"/>
    <w:rsid w:val="005611C3"/>
    <w:rsid w:val="00561ED9"/>
    <w:rsid w:val="0056271F"/>
    <w:rsid w:val="005636B0"/>
    <w:rsid w:val="00565168"/>
    <w:rsid w:val="005656FE"/>
    <w:rsid w:val="00565E83"/>
    <w:rsid w:val="00567136"/>
    <w:rsid w:val="0056734C"/>
    <w:rsid w:val="005676D3"/>
    <w:rsid w:val="005678E8"/>
    <w:rsid w:val="00570068"/>
    <w:rsid w:val="00570541"/>
    <w:rsid w:val="00572086"/>
    <w:rsid w:val="0057235B"/>
    <w:rsid w:val="0057285C"/>
    <w:rsid w:val="005747C3"/>
    <w:rsid w:val="0057645D"/>
    <w:rsid w:val="00576542"/>
    <w:rsid w:val="00581598"/>
    <w:rsid w:val="00581875"/>
    <w:rsid w:val="005821F9"/>
    <w:rsid w:val="0058230D"/>
    <w:rsid w:val="00585A83"/>
    <w:rsid w:val="00585B0D"/>
    <w:rsid w:val="00591BC0"/>
    <w:rsid w:val="00591D45"/>
    <w:rsid w:val="0059271A"/>
    <w:rsid w:val="00593350"/>
    <w:rsid w:val="00593C7A"/>
    <w:rsid w:val="00594415"/>
    <w:rsid w:val="00596025"/>
    <w:rsid w:val="00597B40"/>
    <w:rsid w:val="005A0665"/>
    <w:rsid w:val="005A0CB7"/>
    <w:rsid w:val="005A31A6"/>
    <w:rsid w:val="005A423A"/>
    <w:rsid w:val="005A52DE"/>
    <w:rsid w:val="005A555D"/>
    <w:rsid w:val="005A77E2"/>
    <w:rsid w:val="005B1D70"/>
    <w:rsid w:val="005B3711"/>
    <w:rsid w:val="005B79AF"/>
    <w:rsid w:val="005C064C"/>
    <w:rsid w:val="005C11C2"/>
    <w:rsid w:val="005C31D3"/>
    <w:rsid w:val="005C3A40"/>
    <w:rsid w:val="005C6638"/>
    <w:rsid w:val="005D27A6"/>
    <w:rsid w:val="005D33A0"/>
    <w:rsid w:val="005D3B74"/>
    <w:rsid w:val="005D5800"/>
    <w:rsid w:val="005D6EE0"/>
    <w:rsid w:val="005D72B7"/>
    <w:rsid w:val="005D796C"/>
    <w:rsid w:val="005E0DE9"/>
    <w:rsid w:val="005E0FF0"/>
    <w:rsid w:val="005E1CF4"/>
    <w:rsid w:val="005E4015"/>
    <w:rsid w:val="005E4EF4"/>
    <w:rsid w:val="005E748F"/>
    <w:rsid w:val="005E7CE8"/>
    <w:rsid w:val="005F00ED"/>
    <w:rsid w:val="005F13B3"/>
    <w:rsid w:val="005F38C0"/>
    <w:rsid w:val="005F465A"/>
    <w:rsid w:val="005F48A8"/>
    <w:rsid w:val="005F4F7A"/>
    <w:rsid w:val="005F5ECA"/>
    <w:rsid w:val="005F6902"/>
    <w:rsid w:val="005F6A23"/>
    <w:rsid w:val="005F6D53"/>
    <w:rsid w:val="005F757F"/>
    <w:rsid w:val="00601088"/>
    <w:rsid w:val="006030E0"/>
    <w:rsid w:val="00603396"/>
    <w:rsid w:val="00603670"/>
    <w:rsid w:val="006037D5"/>
    <w:rsid w:val="00604102"/>
    <w:rsid w:val="006049B3"/>
    <w:rsid w:val="006063E7"/>
    <w:rsid w:val="00611102"/>
    <w:rsid w:val="00611E37"/>
    <w:rsid w:val="00611F45"/>
    <w:rsid w:val="006162F0"/>
    <w:rsid w:val="00616532"/>
    <w:rsid w:val="00616AE3"/>
    <w:rsid w:val="00617442"/>
    <w:rsid w:val="00620F2C"/>
    <w:rsid w:val="00622466"/>
    <w:rsid w:val="00623888"/>
    <w:rsid w:val="00624648"/>
    <w:rsid w:val="00625911"/>
    <w:rsid w:val="006268E3"/>
    <w:rsid w:val="0062784E"/>
    <w:rsid w:val="00627F1C"/>
    <w:rsid w:val="00633AA2"/>
    <w:rsid w:val="00634DF0"/>
    <w:rsid w:val="00642438"/>
    <w:rsid w:val="0064715C"/>
    <w:rsid w:val="00652463"/>
    <w:rsid w:val="00652E12"/>
    <w:rsid w:val="00653371"/>
    <w:rsid w:val="006561E4"/>
    <w:rsid w:val="00657789"/>
    <w:rsid w:val="00657825"/>
    <w:rsid w:val="0066018A"/>
    <w:rsid w:val="006629FE"/>
    <w:rsid w:val="00664473"/>
    <w:rsid w:val="00667EDA"/>
    <w:rsid w:val="00672679"/>
    <w:rsid w:val="00672DC2"/>
    <w:rsid w:val="00673379"/>
    <w:rsid w:val="0067509F"/>
    <w:rsid w:val="00675462"/>
    <w:rsid w:val="00675C31"/>
    <w:rsid w:val="006779F7"/>
    <w:rsid w:val="00680244"/>
    <w:rsid w:val="00681076"/>
    <w:rsid w:val="006817FD"/>
    <w:rsid w:val="00682496"/>
    <w:rsid w:val="00683451"/>
    <w:rsid w:val="00684E72"/>
    <w:rsid w:val="006855FD"/>
    <w:rsid w:val="00687439"/>
    <w:rsid w:val="00687B95"/>
    <w:rsid w:val="00687DA9"/>
    <w:rsid w:val="00691AE6"/>
    <w:rsid w:val="006923B3"/>
    <w:rsid w:val="00693903"/>
    <w:rsid w:val="00694A1D"/>
    <w:rsid w:val="00696C92"/>
    <w:rsid w:val="00697243"/>
    <w:rsid w:val="006A3991"/>
    <w:rsid w:val="006A4FA8"/>
    <w:rsid w:val="006A61C8"/>
    <w:rsid w:val="006B011A"/>
    <w:rsid w:val="006B0565"/>
    <w:rsid w:val="006B07B5"/>
    <w:rsid w:val="006B11AE"/>
    <w:rsid w:val="006B1BFB"/>
    <w:rsid w:val="006B205F"/>
    <w:rsid w:val="006B2803"/>
    <w:rsid w:val="006B3550"/>
    <w:rsid w:val="006B3F6F"/>
    <w:rsid w:val="006B6F12"/>
    <w:rsid w:val="006B764E"/>
    <w:rsid w:val="006B7E73"/>
    <w:rsid w:val="006C04B1"/>
    <w:rsid w:val="006C0648"/>
    <w:rsid w:val="006C0F97"/>
    <w:rsid w:val="006C2857"/>
    <w:rsid w:val="006C3A87"/>
    <w:rsid w:val="006C55A1"/>
    <w:rsid w:val="006C5F36"/>
    <w:rsid w:val="006C65D5"/>
    <w:rsid w:val="006C69A8"/>
    <w:rsid w:val="006C752E"/>
    <w:rsid w:val="006C7618"/>
    <w:rsid w:val="006D08B5"/>
    <w:rsid w:val="006D090A"/>
    <w:rsid w:val="006D127E"/>
    <w:rsid w:val="006D213E"/>
    <w:rsid w:val="006D38AC"/>
    <w:rsid w:val="006D4363"/>
    <w:rsid w:val="006D5FC6"/>
    <w:rsid w:val="006D73D0"/>
    <w:rsid w:val="006D7E04"/>
    <w:rsid w:val="006E11EB"/>
    <w:rsid w:val="006E4B39"/>
    <w:rsid w:val="006E5A52"/>
    <w:rsid w:val="006E6C06"/>
    <w:rsid w:val="006E73D5"/>
    <w:rsid w:val="006F03C7"/>
    <w:rsid w:val="006F3FFB"/>
    <w:rsid w:val="006F4162"/>
    <w:rsid w:val="006F7E2C"/>
    <w:rsid w:val="00700C51"/>
    <w:rsid w:val="00700E92"/>
    <w:rsid w:val="00701538"/>
    <w:rsid w:val="00704006"/>
    <w:rsid w:val="00704031"/>
    <w:rsid w:val="0070553B"/>
    <w:rsid w:val="007056A1"/>
    <w:rsid w:val="007059E9"/>
    <w:rsid w:val="007077E0"/>
    <w:rsid w:val="0071097B"/>
    <w:rsid w:val="00711805"/>
    <w:rsid w:val="00711AE7"/>
    <w:rsid w:val="0071218A"/>
    <w:rsid w:val="007128C2"/>
    <w:rsid w:val="00713BF5"/>
    <w:rsid w:val="00714F82"/>
    <w:rsid w:val="00715468"/>
    <w:rsid w:val="00715D44"/>
    <w:rsid w:val="00715D4C"/>
    <w:rsid w:val="0071695F"/>
    <w:rsid w:val="00717FA5"/>
    <w:rsid w:val="007202F3"/>
    <w:rsid w:val="007214B0"/>
    <w:rsid w:val="00721F2F"/>
    <w:rsid w:val="00724E13"/>
    <w:rsid w:val="00726EDF"/>
    <w:rsid w:val="00732BA2"/>
    <w:rsid w:val="007342B9"/>
    <w:rsid w:val="007356BA"/>
    <w:rsid w:val="0073581F"/>
    <w:rsid w:val="00736870"/>
    <w:rsid w:val="00741354"/>
    <w:rsid w:val="00741FE9"/>
    <w:rsid w:val="00742FDB"/>
    <w:rsid w:val="00743321"/>
    <w:rsid w:val="007440B0"/>
    <w:rsid w:val="007470DA"/>
    <w:rsid w:val="007565C8"/>
    <w:rsid w:val="00757026"/>
    <w:rsid w:val="00760E0F"/>
    <w:rsid w:val="0076161F"/>
    <w:rsid w:val="0076174F"/>
    <w:rsid w:val="00761C9A"/>
    <w:rsid w:val="00761EEB"/>
    <w:rsid w:val="00762179"/>
    <w:rsid w:val="0076416D"/>
    <w:rsid w:val="00766BD6"/>
    <w:rsid w:val="00771A7F"/>
    <w:rsid w:val="00772ED2"/>
    <w:rsid w:val="00777283"/>
    <w:rsid w:val="00781170"/>
    <w:rsid w:val="00781957"/>
    <w:rsid w:val="00781BFE"/>
    <w:rsid w:val="0078212E"/>
    <w:rsid w:val="00783B9B"/>
    <w:rsid w:val="007844E5"/>
    <w:rsid w:val="007864B4"/>
    <w:rsid w:val="00786796"/>
    <w:rsid w:val="00787801"/>
    <w:rsid w:val="00787818"/>
    <w:rsid w:val="007900D7"/>
    <w:rsid w:val="007908AC"/>
    <w:rsid w:val="007908F4"/>
    <w:rsid w:val="00792A96"/>
    <w:rsid w:val="00793005"/>
    <w:rsid w:val="007931B0"/>
    <w:rsid w:val="0079391A"/>
    <w:rsid w:val="0079465B"/>
    <w:rsid w:val="007975EE"/>
    <w:rsid w:val="007977D7"/>
    <w:rsid w:val="007A030E"/>
    <w:rsid w:val="007A29C4"/>
    <w:rsid w:val="007A2DCD"/>
    <w:rsid w:val="007A640D"/>
    <w:rsid w:val="007A70FE"/>
    <w:rsid w:val="007B14CC"/>
    <w:rsid w:val="007B2EFC"/>
    <w:rsid w:val="007B2FC3"/>
    <w:rsid w:val="007B3C1C"/>
    <w:rsid w:val="007B4F43"/>
    <w:rsid w:val="007B645B"/>
    <w:rsid w:val="007B6BF5"/>
    <w:rsid w:val="007C0808"/>
    <w:rsid w:val="007C20E3"/>
    <w:rsid w:val="007C2B74"/>
    <w:rsid w:val="007C5792"/>
    <w:rsid w:val="007D0D9A"/>
    <w:rsid w:val="007D1140"/>
    <w:rsid w:val="007D196E"/>
    <w:rsid w:val="007D19F8"/>
    <w:rsid w:val="007D1B48"/>
    <w:rsid w:val="007D4451"/>
    <w:rsid w:val="007D4562"/>
    <w:rsid w:val="007D78E0"/>
    <w:rsid w:val="007D7DBF"/>
    <w:rsid w:val="007E26FA"/>
    <w:rsid w:val="007E36B1"/>
    <w:rsid w:val="007E3EDE"/>
    <w:rsid w:val="007F01BF"/>
    <w:rsid w:val="007F26F4"/>
    <w:rsid w:val="007F3567"/>
    <w:rsid w:val="007F3DBB"/>
    <w:rsid w:val="007F5E31"/>
    <w:rsid w:val="007F6B25"/>
    <w:rsid w:val="0080065E"/>
    <w:rsid w:val="00803180"/>
    <w:rsid w:val="008034FC"/>
    <w:rsid w:val="00803518"/>
    <w:rsid w:val="00803C6B"/>
    <w:rsid w:val="0080552E"/>
    <w:rsid w:val="00806D73"/>
    <w:rsid w:val="0080705E"/>
    <w:rsid w:val="00807671"/>
    <w:rsid w:val="00811E08"/>
    <w:rsid w:val="00812470"/>
    <w:rsid w:val="008124C1"/>
    <w:rsid w:val="00813930"/>
    <w:rsid w:val="008141BE"/>
    <w:rsid w:val="0081489C"/>
    <w:rsid w:val="00814978"/>
    <w:rsid w:val="00815BBE"/>
    <w:rsid w:val="008171F6"/>
    <w:rsid w:val="00817C80"/>
    <w:rsid w:val="008218CC"/>
    <w:rsid w:val="0082229E"/>
    <w:rsid w:val="00825FF0"/>
    <w:rsid w:val="0082684D"/>
    <w:rsid w:val="00830919"/>
    <w:rsid w:val="00830AA2"/>
    <w:rsid w:val="0083142E"/>
    <w:rsid w:val="00831EB9"/>
    <w:rsid w:val="008347E9"/>
    <w:rsid w:val="00834A64"/>
    <w:rsid w:val="00843E98"/>
    <w:rsid w:val="0084490D"/>
    <w:rsid w:val="00844BA8"/>
    <w:rsid w:val="00846535"/>
    <w:rsid w:val="0084663D"/>
    <w:rsid w:val="00846EED"/>
    <w:rsid w:val="00847407"/>
    <w:rsid w:val="00852277"/>
    <w:rsid w:val="008535B8"/>
    <w:rsid w:val="00853714"/>
    <w:rsid w:val="008537C7"/>
    <w:rsid w:val="008556E4"/>
    <w:rsid w:val="00856646"/>
    <w:rsid w:val="00856A81"/>
    <w:rsid w:val="00856F2F"/>
    <w:rsid w:val="008603BF"/>
    <w:rsid w:val="00861BD6"/>
    <w:rsid w:val="00866201"/>
    <w:rsid w:val="00872DC7"/>
    <w:rsid w:val="00873D04"/>
    <w:rsid w:val="008744FD"/>
    <w:rsid w:val="00874C52"/>
    <w:rsid w:val="00874F9D"/>
    <w:rsid w:val="00875023"/>
    <w:rsid w:val="00881257"/>
    <w:rsid w:val="00882269"/>
    <w:rsid w:val="00882C42"/>
    <w:rsid w:val="0088316B"/>
    <w:rsid w:val="00884B5C"/>
    <w:rsid w:val="00884FD7"/>
    <w:rsid w:val="00885460"/>
    <w:rsid w:val="00885499"/>
    <w:rsid w:val="00886AAB"/>
    <w:rsid w:val="008872D5"/>
    <w:rsid w:val="00887430"/>
    <w:rsid w:val="008902DB"/>
    <w:rsid w:val="00892C98"/>
    <w:rsid w:val="008938FF"/>
    <w:rsid w:val="00895092"/>
    <w:rsid w:val="00897C7E"/>
    <w:rsid w:val="008A14D4"/>
    <w:rsid w:val="008A1CDF"/>
    <w:rsid w:val="008A5110"/>
    <w:rsid w:val="008A543D"/>
    <w:rsid w:val="008A66D6"/>
    <w:rsid w:val="008A673B"/>
    <w:rsid w:val="008A7093"/>
    <w:rsid w:val="008A75A4"/>
    <w:rsid w:val="008B118C"/>
    <w:rsid w:val="008B155B"/>
    <w:rsid w:val="008B1C5C"/>
    <w:rsid w:val="008B7BAC"/>
    <w:rsid w:val="008B7C71"/>
    <w:rsid w:val="008C0471"/>
    <w:rsid w:val="008C0EE8"/>
    <w:rsid w:val="008C2AB1"/>
    <w:rsid w:val="008C2E78"/>
    <w:rsid w:val="008C3917"/>
    <w:rsid w:val="008C3F98"/>
    <w:rsid w:val="008C5544"/>
    <w:rsid w:val="008C7245"/>
    <w:rsid w:val="008D0A5A"/>
    <w:rsid w:val="008D5AC9"/>
    <w:rsid w:val="008E0B53"/>
    <w:rsid w:val="008E2FAD"/>
    <w:rsid w:val="008E3CD8"/>
    <w:rsid w:val="008E49E5"/>
    <w:rsid w:val="008E6EDC"/>
    <w:rsid w:val="008F0537"/>
    <w:rsid w:val="008F11A4"/>
    <w:rsid w:val="008F3BD8"/>
    <w:rsid w:val="008F3E0F"/>
    <w:rsid w:val="008F3F79"/>
    <w:rsid w:val="008F480D"/>
    <w:rsid w:val="008F73EA"/>
    <w:rsid w:val="00901895"/>
    <w:rsid w:val="00903E1C"/>
    <w:rsid w:val="00904699"/>
    <w:rsid w:val="00904D13"/>
    <w:rsid w:val="009059A7"/>
    <w:rsid w:val="0090669F"/>
    <w:rsid w:val="00910411"/>
    <w:rsid w:val="0091211F"/>
    <w:rsid w:val="009126FB"/>
    <w:rsid w:val="00912E21"/>
    <w:rsid w:val="00914296"/>
    <w:rsid w:val="00916048"/>
    <w:rsid w:val="00920DC2"/>
    <w:rsid w:val="009227C3"/>
    <w:rsid w:val="0092421F"/>
    <w:rsid w:val="009255A2"/>
    <w:rsid w:val="00926123"/>
    <w:rsid w:val="00926D34"/>
    <w:rsid w:val="00932C96"/>
    <w:rsid w:val="00932E40"/>
    <w:rsid w:val="009338BD"/>
    <w:rsid w:val="00933958"/>
    <w:rsid w:val="00933C1F"/>
    <w:rsid w:val="00933DD7"/>
    <w:rsid w:val="00936A90"/>
    <w:rsid w:val="00936B1E"/>
    <w:rsid w:val="00937F4D"/>
    <w:rsid w:val="0094281F"/>
    <w:rsid w:val="00942E76"/>
    <w:rsid w:val="00945388"/>
    <w:rsid w:val="00945FC8"/>
    <w:rsid w:val="0094675A"/>
    <w:rsid w:val="00946C77"/>
    <w:rsid w:val="00947821"/>
    <w:rsid w:val="00947D86"/>
    <w:rsid w:val="009500CB"/>
    <w:rsid w:val="00950D89"/>
    <w:rsid w:val="00954CB9"/>
    <w:rsid w:val="00955CA6"/>
    <w:rsid w:val="0095792E"/>
    <w:rsid w:val="009579AD"/>
    <w:rsid w:val="00957F6A"/>
    <w:rsid w:val="00961BA1"/>
    <w:rsid w:val="009629F2"/>
    <w:rsid w:val="00963F7D"/>
    <w:rsid w:val="009642AE"/>
    <w:rsid w:val="00966193"/>
    <w:rsid w:val="009666D4"/>
    <w:rsid w:val="00966E16"/>
    <w:rsid w:val="00970530"/>
    <w:rsid w:val="0097091B"/>
    <w:rsid w:val="00970B18"/>
    <w:rsid w:val="00970D73"/>
    <w:rsid w:val="009719B0"/>
    <w:rsid w:val="00971A8F"/>
    <w:rsid w:val="00974CA0"/>
    <w:rsid w:val="00975B44"/>
    <w:rsid w:val="009761A0"/>
    <w:rsid w:val="00977403"/>
    <w:rsid w:val="0097774E"/>
    <w:rsid w:val="00977A31"/>
    <w:rsid w:val="00977E32"/>
    <w:rsid w:val="00981FCF"/>
    <w:rsid w:val="00983C9A"/>
    <w:rsid w:val="00984348"/>
    <w:rsid w:val="009877F1"/>
    <w:rsid w:val="00987AF3"/>
    <w:rsid w:val="00987EA5"/>
    <w:rsid w:val="00990253"/>
    <w:rsid w:val="00990CAA"/>
    <w:rsid w:val="00991F41"/>
    <w:rsid w:val="0099478B"/>
    <w:rsid w:val="009952C0"/>
    <w:rsid w:val="009A0861"/>
    <w:rsid w:val="009A21C0"/>
    <w:rsid w:val="009A2DB5"/>
    <w:rsid w:val="009A31DF"/>
    <w:rsid w:val="009A4BF3"/>
    <w:rsid w:val="009A62C1"/>
    <w:rsid w:val="009B059F"/>
    <w:rsid w:val="009B2EE9"/>
    <w:rsid w:val="009B2F4C"/>
    <w:rsid w:val="009B34EE"/>
    <w:rsid w:val="009B4D41"/>
    <w:rsid w:val="009B5556"/>
    <w:rsid w:val="009C0493"/>
    <w:rsid w:val="009C1294"/>
    <w:rsid w:val="009C1D0E"/>
    <w:rsid w:val="009C2D78"/>
    <w:rsid w:val="009C36AC"/>
    <w:rsid w:val="009C570F"/>
    <w:rsid w:val="009D030A"/>
    <w:rsid w:val="009D0859"/>
    <w:rsid w:val="009D3F4C"/>
    <w:rsid w:val="009D4995"/>
    <w:rsid w:val="009D4FC9"/>
    <w:rsid w:val="009D5034"/>
    <w:rsid w:val="009D61FF"/>
    <w:rsid w:val="009D718F"/>
    <w:rsid w:val="009D71E1"/>
    <w:rsid w:val="009E3FE1"/>
    <w:rsid w:val="009E5075"/>
    <w:rsid w:val="009E5F7B"/>
    <w:rsid w:val="009F22AA"/>
    <w:rsid w:val="009F6573"/>
    <w:rsid w:val="009F75C8"/>
    <w:rsid w:val="00A01042"/>
    <w:rsid w:val="00A02A21"/>
    <w:rsid w:val="00A042E3"/>
    <w:rsid w:val="00A0472A"/>
    <w:rsid w:val="00A04E92"/>
    <w:rsid w:val="00A13934"/>
    <w:rsid w:val="00A16824"/>
    <w:rsid w:val="00A16C1A"/>
    <w:rsid w:val="00A17EB0"/>
    <w:rsid w:val="00A202CE"/>
    <w:rsid w:val="00A22CEF"/>
    <w:rsid w:val="00A23701"/>
    <w:rsid w:val="00A2578E"/>
    <w:rsid w:val="00A258AD"/>
    <w:rsid w:val="00A27DC2"/>
    <w:rsid w:val="00A30C64"/>
    <w:rsid w:val="00A35A63"/>
    <w:rsid w:val="00A372F8"/>
    <w:rsid w:val="00A37957"/>
    <w:rsid w:val="00A40C01"/>
    <w:rsid w:val="00A40C43"/>
    <w:rsid w:val="00A444BF"/>
    <w:rsid w:val="00A44B49"/>
    <w:rsid w:val="00A45A6D"/>
    <w:rsid w:val="00A519EF"/>
    <w:rsid w:val="00A530B7"/>
    <w:rsid w:val="00A61261"/>
    <w:rsid w:val="00A63FEE"/>
    <w:rsid w:val="00A65483"/>
    <w:rsid w:val="00A75149"/>
    <w:rsid w:val="00A7690E"/>
    <w:rsid w:val="00A807B9"/>
    <w:rsid w:val="00A82740"/>
    <w:rsid w:val="00A82EFF"/>
    <w:rsid w:val="00A83AB5"/>
    <w:rsid w:val="00A90169"/>
    <w:rsid w:val="00A93601"/>
    <w:rsid w:val="00A94A87"/>
    <w:rsid w:val="00A97BD2"/>
    <w:rsid w:val="00AA0640"/>
    <w:rsid w:val="00AA0CDE"/>
    <w:rsid w:val="00AA19BE"/>
    <w:rsid w:val="00AA2719"/>
    <w:rsid w:val="00AA4A01"/>
    <w:rsid w:val="00AA7590"/>
    <w:rsid w:val="00AB18E0"/>
    <w:rsid w:val="00AB2AFD"/>
    <w:rsid w:val="00AB2EDE"/>
    <w:rsid w:val="00AB6105"/>
    <w:rsid w:val="00AB762F"/>
    <w:rsid w:val="00AC2AF9"/>
    <w:rsid w:val="00AC55D1"/>
    <w:rsid w:val="00AC652E"/>
    <w:rsid w:val="00AD00F8"/>
    <w:rsid w:val="00AD08E8"/>
    <w:rsid w:val="00AD26E3"/>
    <w:rsid w:val="00AD3C05"/>
    <w:rsid w:val="00AD6219"/>
    <w:rsid w:val="00AD6889"/>
    <w:rsid w:val="00AE016C"/>
    <w:rsid w:val="00AE2495"/>
    <w:rsid w:val="00AE270A"/>
    <w:rsid w:val="00AE2F48"/>
    <w:rsid w:val="00AE528D"/>
    <w:rsid w:val="00AE60E0"/>
    <w:rsid w:val="00AF1D6C"/>
    <w:rsid w:val="00AF24F1"/>
    <w:rsid w:val="00AF27B4"/>
    <w:rsid w:val="00AF4372"/>
    <w:rsid w:val="00AF704D"/>
    <w:rsid w:val="00AF7FB1"/>
    <w:rsid w:val="00B0099A"/>
    <w:rsid w:val="00B00C40"/>
    <w:rsid w:val="00B032D3"/>
    <w:rsid w:val="00B03B68"/>
    <w:rsid w:val="00B06AE0"/>
    <w:rsid w:val="00B07C3F"/>
    <w:rsid w:val="00B10614"/>
    <w:rsid w:val="00B10EC9"/>
    <w:rsid w:val="00B11DD5"/>
    <w:rsid w:val="00B121E1"/>
    <w:rsid w:val="00B15A17"/>
    <w:rsid w:val="00B15B81"/>
    <w:rsid w:val="00B16927"/>
    <w:rsid w:val="00B17353"/>
    <w:rsid w:val="00B17F80"/>
    <w:rsid w:val="00B207A5"/>
    <w:rsid w:val="00B223F7"/>
    <w:rsid w:val="00B226F9"/>
    <w:rsid w:val="00B22D55"/>
    <w:rsid w:val="00B249E6"/>
    <w:rsid w:val="00B264E5"/>
    <w:rsid w:val="00B26F05"/>
    <w:rsid w:val="00B27C0A"/>
    <w:rsid w:val="00B27E3C"/>
    <w:rsid w:val="00B304C1"/>
    <w:rsid w:val="00B3355A"/>
    <w:rsid w:val="00B35734"/>
    <w:rsid w:val="00B422A6"/>
    <w:rsid w:val="00B43C8F"/>
    <w:rsid w:val="00B45DCF"/>
    <w:rsid w:val="00B4687C"/>
    <w:rsid w:val="00B51558"/>
    <w:rsid w:val="00B519D7"/>
    <w:rsid w:val="00B52C2C"/>
    <w:rsid w:val="00B5406D"/>
    <w:rsid w:val="00B541FE"/>
    <w:rsid w:val="00B5488C"/>
    <w:rsid w:val="00B617FE"/>
    <w:rsid w:val="00B623D3"/>
    <w:rsid w:val="00B62C59"/>
    <w:rsid w:val="00B650F0"/>
    <w:rsid w:val="00B659D6"/>
    <w:rsid w:val="00B665FF"/>
    <w:rsid w:val="00B7097B"/>
    <w:rsid w:val="00B72ED5"/>
    <w:rsid w:val="00B80D6E"/>
    <w:rsid w:val="00B81F97"/>
    <w:rsid w:val="00B82449"/>
    <w:rsid w:val="00B85FC9"/>
    <w:rsid w:val="00B91433"/>
    <w:rsid w:val="00B917C3"/>
    <w:rsid w:val="00B92E1C"/>
    <w:rsid w:val="00B9427B"/>
    <w:rsid w:val="00B965A0"/>
    <w:rsid w:val="00B9732A"/>
    <w:rsid w:val="00B977BD"/>
    <w:rsid w:val="00BA1245"/>
    <w:rsid w:val="00BA364E"/>
    <w:rsid w:val="00BA3C54"/>
    <w:rsid w:val="00BA56B6"/>
    <w:rsid w:val="00BA578C"/>
    <w:rsid w:val="00BB0F30"/>
    <w:rsid w:val="00BB2990"/>
    <w:rsid w:val="00BB3FF8"/>
    <w:rsid w:val="00BB45E3"/>
    <w:rsid w:val="00BB4F68"/>
    <w:rsid w:val="00BB566D"/>
    <w:rsid w:val="00BB5881"/>
    <w:rsid w:val="00BB67EB"/>
    <w:rsid w:val="00BB71AE"/>
    <w:rsid w:val="00BC063F"/>
    <w:rsid w:val="00BC2237"/>
    <w:rsid w:val="00BC2C4A"/>
    <w:rsid w:val="00BC42A4"/>
    <w:rsid w:val="00BC4505"/>
    <w:rsid w:val="00BC5B0D"/>
    <w:rsid w:val="00BC61A5"/>
    <w:rsid w:val="00BC697C"/>
    <w:rsid w:val="00BD281D"/>
    <w:rsid w:val="00BD2BB9"/>
    <w:rsid w:val="00BD3301"/>
    <w:rsid w:val="00BD4691"/>
    <w:rsid w:val="00BD4CD9"/>
    <w:rsid w:val="00BD4FD7"/>
    <w:rsid w:val="00BE20B7"/>
    <w:rsid w:val="00BE433C"/>
    <w:rsid w:val="00BF04FE"/>
    <w:rsid w:val="00BF11D9"/>
    <w:rsid w:val="00BF156D"/>
    <w:rsid w:val="00BF2F44"/>
    <w:rsid w:val="00BF2FC7"/>
    <w:rsid w:val="00BF39F2"/>
    <w:rsid w:val="00BF568B"/>
    <w:rsid w:val="00C00098"/>
    <w:rsid w:val="00C00677"/>
    <w:rsid w:val="00C01540"/>
    <w:rsid w:val="00C02598"/>
    <w:rsid w:val="00C027FE"/>
    <w:rsid w:val="00C07F58"/>
    <w:rsid w:val="00C10F32"/>
    <w:rsid w:val="00C12FFF"/>
    <w:rsid w:val="00C13128"/>
    <w:rsid w:val="00C15B2A"/>
    <w:rsid w:val="00C16557"/>
    <w:rsid w:val="00C2026A"/>
    <w:rsid w:val="00C20EE6"/>
    <w:rsid w:val="00C21236"/>
    <w:rsid w:val="00C21B82"/>
    <w:rsid w:val="00C2292E"/>
    <w:rsid w:val="00C247E6"/>
    <w:rsid w:val="00C30F55"/>
    <w:rsid w:val="00C31252"/>
    <w:rsid w:val="00C317B2"/>
    <w:rsid w:val="00C32EB2"/>
    <w:rsid w:val="00C368FE"/>
    <w:rsid w:val="00C36C7C"/>
    <w:rsid w:val="00C40805"/>
    <w:rsid w:val="00C41C8B"/>
    <w:rsid w:val="00C4200B"/>
    <w:rsid w:val="00C42D28"/>
    <w:rsid w:val="00C44CA9"/>
    <w:rsid w:val="00C45FC5"/>
    <w:rsid w:val="00C476C2"/>
    <w:rsid w:val="00C511CE"/>
    <w:rsid w:val="00C51760"/>
    <w:rsid w:val="00C5194F"/>
    <w:rsid w:val="00C541C5"/>
    <w:rsid w:val="00C554A0"/>
    <w:rsid w:val="00C56A1C"/>
    <w:rsid w:val="00C62A3B"/>
    <w:rsid w:val="00C630F7"/>
    <w:rsid w:val="00C63AD5"/>
    <w:rsid w:val="00C64B6E"/>
    <w:rsid w:val="00C65789"/>
    <w:rsid w:val="00C677FB"/>
    <w:rsid w:val="00C70F19"/>
    <w:rsid w:val="00C71631"/>
    <w:rsid w:val="00C72131"/>
    <w:rsid w:val="00C760EB"/>
    <w:rsid w:val="00C776A4"/>
    <w:rsid w:val="00C80434"/>
    <w:rsid w:val="00C83E6E"/>
    <w:rsid w:val="00C841D5"/>
    <w:rsid w:val="00C84822"/>
    <w:rsid w:val="00C87338"/>
    <w:rsid w:val="00C87FA0"/>
    <w:rsid w:val="00C90DA1"/>
    <w:rsid w:val="00C91386"/>
    <w:rsid w:val="00C95BEB"/>
    <w:rsid w:val="00CA090A"/>
    <w:rsid w:val="00CA0CCB"/>
    <w:rsid w:val="00CA0DD6"/>
    <w:rsid w:val="00CA0FD7"/>
    <w:rsid w:val="00CA18DB"/>
    <w:rsid w:val="00CA1944"/>
    <w:rsid w:val="00CA1FF9"/>
    <w:rsid w:val="00CA20A2"/>
    <w:rsid w:val="00CA423A"/>
    <w:rsid w:val="00CA625B"/>
    <w:rsid w:val="00CB0C7E"/>
    <w:rsid w:val="00CB141A"/>
    <w:rsid w:val="00CB4F28"/>
    <w:rsid w:val="00CB76AF"/>
    <w:rsid w:val="00CB7D61"/>
    <w:rsid w:val="00CC02D1"/>
    <w:rsid w:val="00CC12CF"/>
    <w:rsid w:val="00CC12E0"/>
    <w:rsid w:val="00CC17D4"/>
    <w:rsid w:val="00CC56D6"/>
    <w:rsid w:val="00CC6973"/>
    <w:rsid w:val="00CD143C"/>
    <w:rsid w:val="00CD308E"/>
    <w:rsid w:val="00CD3B26"/>
    <w:rsid w:val="00CD57F2"/>
    <w:rsid w:val="00CD60B3"/>
    <w:rsid w:val="00CD67D2"/>
    <w:rsid w:val="00CD7260"/>
    <w:rsid w:val="00CE04FF"/>
    <w:rsid w:val="00CE1EE5"/>
    <w:rsid w:val="00CE5992"/>
    <w:rsid w:val="00CE6262"/>
    <w:rsid w:val="00CE71FC"/>
    <w:rsid w:val="00CF2666"/>
    <w:rsid w:val="00CF31A0"/>
    <w:rsid w:val="00CF59AA"/>
    <w:rsid w:val="00D000F2"/>
    <w:rsid w:val="00D002F2"/>
    <w:rsid w:val="00D015A2"/>
    <w:rsid w:val="00D022E2"/>
    <w:rsid w:val="00D0364C"/>
    <w:rsid w:val="00D03B4F"/>
    <w:rsid w:val="00D03FED"/>
    <w:rsid w:val="00D061E7"/>
    <w:rsid w:val="00D075B2"/>
    <w:rsid w:val="00D10E67"/>
    <w:rsid w:val="00D11EAB"/>
    <w:rsid w:val="00D143BD"/>
    <w:rsid w:val="00D15058"/>
    <w:rsid w:val="00D15D5F"/>
    <w:rsid w:val="00D16B8C"/>
    <w:rsid w:val="00D2020D"/>
    <w:rsid w:val="00D20C20"/>
    <w:rsid w:val="00D221F4"/>
    <w:rsid w:val="00D22650"/>
    <w:rsid w:val="00D24487"/>
    <w:rsid w:val="00D26AD0"/>
    <w:rsid w:val="00D27676"/>
    <w:rsid w:val="00D3144B"/>
    <w:rsid w:val="00D32910"/>
    <w:rsid w:val="00D341AD"/>
    <w:rsid w:val="00D348E1"/>
    <w:rsid w:val="00D35277"/>
    <w:rsid w:val="00D36CBF"/>
    <w:rsid w:val="00D402A7"/>
    <w:rsid w:val="00D41151"/>
    <w:rsid w:val="00D4130A"/>
    <w:rsid w:val="00D4308A"/>
    <w:rsid w:val="00D441DC"/>
    <w:rsid w:val="00D460FC"/>
    <w:rsid w:val="00D4630A"/>
    <w:rsid w:val="00D467C0"/>
    <w:rsid w:val="00D475F0"/>
    <w:rsid w:val="00D510B4"/>
    <w:rsid w:val="00D525DB"/>
    <w:rsid w:val="00D53095"/>
    <w:rsid w:val="00D533FC"/>
    <w:rsid w:val="00D56981"/>
    <w:rsid w:val="00D61025"/>
    <w:rsid w:val="00D61271"/>
    <w:rsid w:val="00D616FC"/>
    <w:rsid w:val="00D638E3"/>
    <w:rsid w:val="00D64E63"/>
    <w:rsid w:val="00D675D5"/>
    <w:rsid w:val="00D67990"/>
    <w:rsid w:val="00D702C4"/>
    <w:rsid w:val="00D7179D"/>
    <w:rsid w:val="00D717AD"/>
    <w:rsid w:val="00D71805"/>
    <w:rsid w:val="00D7193F"/>
    <w:rsid w:val="00D75D61"/>
    <w:rsid w:val="00D76CA4"/>
    <w:rsid w:val="00D80AFE"/>
    <w:rsid w:val="00D8277B"/>
    <w:rsid w:val="00D82EF0"/>
    <w:rsid w:val="00D8465C"/>
    <w:rsid w:val="00D85627"/>
    <w:rsid w:val="00D906F7"/>
    <w:rsid w:val="00D909EC"/>
    <w:rsid w:val="00D90AE9"/>
    <w:rsid w:val="00D92993"/>
    <w:rsid w:val="00D9501D"/>
    <w:rsid w:val="00D953AB"/>
    <w:rsid w:val="00D958EE"/>
    <w:rsid w:val="00D95FC8"/>
    <w:rsid w:val="00D966A6"/>
    <w:rsid w:val="00D96A20"/>
    <w:rsid w:val="00D96CBE"/>
    <w:rsid w:val="00DA0054"/>
    <w:rsid w:val="00DA19A2"/>
    <w:rsid w:val="00DA2A14"/>
    <w:rsid w:val="00DA2A56"/>
    <w:rsid w:val="00DA35AD"/>
    <w:rsid w:val="00DA5447"/>
    <w:rsid w:val="00DA6DD5"/>
    <w:rsid w:val="00DB059A"/>
    <w:rsid w:val="00DB4E8A"/>
    <w:rsid w:val="00DB7A0A"/>
    <w:rsid w:val="00DC0E77"/>
    <w:rsid w:val="00DC22FA"/>
    <w:rsid w:val="00DC5611"/>
    <w:rsid w:val="00DC7F9D"/>
    <w:rsid w:val="00DD03E0"/>
    <w:rsid w:val="00DD0C1E"/>
    <w:rsid w:val="00DD1F0C"/>
    <w:rsid w:val="00DD2AD9"/>
    <w:rsid w:val="00DD2C2A"/>
    <w:rsid w:val="00DD3557"/>
    <w:rsid w:val="00DD4221"/>
    <w:rsid w:val="00DD4A4C"/>
    <w:rsid w:val="00DD5199"/>
    <w:rsid w:val="00DD5A6F"/>
    <w:rsid w:val="00DD5BDE"/>
    <w:rsid w:val="00DD609B"/>
    <w:rsid w:val="00DD6BA9"/>
    <w:rsid w:val="00DE02EE"/>
    <w:rsid w:val="00DE06E1"/>
    <w:rsid w:val="00DE0B70"/>
    <w:rsid w:val="00DE2E33"/>
    <w:rsid w:val="00DE40D0"/>
    <w:rsid w:val="00DE79FE"/>
    <w:rsid w:val="00DF0BFF"/>
    <w:rsid w:val="00DF1984"/>
    <w:rsid w:val="00DF60E1"/>
    <w:rsid w:val="00DF7EE5"/>
    <w:rsid w:val="00E006F3"/>
    <w:rsid w:val="00E01BD6"/>
    <w:rsid w:val="00E01F42"/>
    <w:rsid w:val="00E01F9F"/>
    <w:rsid w:val="00E02898"/>
    <w:rsid w:val="00E04582"/>
    <w:rsid w:val="00E0642A"/>
    <w:rsid w:val="00E06F98"/>
    <w:rsid w:val="00E07AB9"/>
    <w:rsid w:val="00E10A26"/>
    <w:rsid w:val="00E11CE8"/>
    <w:rsid w:val="00E127FA"/>
    <w:rsid w:val="00E139FD"/>
    <w:rsid w:val="00E148D0"/>
    <w:rsid w:val="00E15071"/>
    <w:rsid w:val="00E155B8"/>
    <w:rsid w:val="00E158C4"/>
    <w:rsid w:val="00E16112"/>
    <w:rsid w:val="00E169B5"/>
    <w:rsid w:val="00E2108A"/>
    <w:rsid w:val="00E211E9"/>
    <w:rsid w:val="00E23558"/>
    <w:rsid w:val="00E23564"/>
    <w:rsid w:val="00E241A1"/>
    <w:rsid w:val="00E24837"/>
    <w:rsid w:val="00E24A74"/>
    <w:rsid w:val="00E24EA2"/>
    <w:rsid w:val="00E255DD"/>
    <w:rsid w:val="00E300EB"/>
    <w:rsid w:val="00E311E0"/>
    <w:rsid w:val="00E326C9"/>
    <w:rsid w:val="00E33556"/>
    <w:rsid w:val="00E33AC5"/>
    <w:rsid w:val="00E33D94"/>
    <w:rsid w:val="00E33E2A"/>
    <w:rsid w:val="00E3421A"/>
    <w:rsid w:val="00E34EB3"/>
    <w:rsid w:val="00E37A42"/>
    <w:rsid w:val="00E37BFA"/>
    <w:rsid w:val="00E402AD"/>
    <w:rsid w:val="00E42780"/>
    <w:rsid w:val="00E4346A"/>
    <w:rsid w:val="00E447F5"/>
    <w:rsid w:val="00E44ED0"/>
    <w:rsid w:val="00E4552F"/>
    <w:rsid w:val="00E456ED"/>
    <w:rsid w:val="00E51578"/>
    <w:rsid w:val="00E5170D"/>
    <w:rsid w:val="00E5252E"/>
    <w:rsid w:val="00E52B0C"/>
    <w:rsid w:val="00E578A9"/>
    <w:rsid w:val="00E6126E"/>
    <w:rsid w:val="00E61495"/>
    <w:rsid w:val="00E64649"/>
    <w:rsid w:val="00E64810"/>
    <w:rsid w:val="00E67BC4"/>
    <w:rsid w:val="00E67F7E"/>
    <w:rsid w:val="00E70313"/>
    <w:rsid w:val="00E70DF7"/>
    <w:rsid w:val="00E71925"/>
    <w:rsid w:val="00E723E3"/>
    <w:rsid w:val="00E75CB3"/>
    <w:rsid w:val="00E81F84"/>
    <w:rsid w:val="00E8316E"/>
    <w:rsid w:val="00E84F37"/>
    <w:rsid w:val="00E87093"/>
    <w:rsid w:val="00E87BE3"/>
    <w:rsid w:val="00E900EF"/>
    <w:rsid w:val="00E91C4F"/>
    <w:rsid w:val="00E96562"/>
    <w:rsid w:val="00E97180"/>
    <w:rsid w:val="00E97CD3"/>
    <w:rsid w:val="00EA08B8"/>
    <w:rsid w:val="00EA12E2"/>
    <w:rsid w:val="00EA1D68"/>
    <w:rsid w:val="00EA2D13"/>
    <w:rsid w:val="00EA3A09"/>
    <w:rsid w:val="00EA3A30"/>
    <w:rsid w:val="00EA6C46"/>
    <w:rsid w:val="00EB067E"/>
    <w:rsid w:val="00EB3E5D"/>
    <w:rsid w:val="00EB546D"/>
    <w:rsid w:val="00EB5B7C"/>
    <w:rsid w:val="00EC3112"/>
    <w:rsid w:val="00EC5771"/>
    <w:rsid w:val="00EC6A4D"/>
    <w:rsid w:val="00EC6B71"/>
    <w:rsid w:val="00EC6ED2"/>
    <w:rsid w:val="00EC7F7E"/>
    <w:rsid w:val="00ED2CA6"/>
    <w:rsid w:val="00ED5181"/>
    <w:rsid w:val="00ED557B"/>
    <w:rsid w:val="00ED71E2"/>
    <w:rsid w:val="00EE203B"/>
    <w:rsid w:val="00EE22B8"/>
    <w:rsid w:val="00EE41AE"/>
    <w:rsid w:val="00EE6332"/>
    <w:rsid w:val="00EE6AD7"/>
    <w:rsid w:val="00EE7439"/>
    <w:rsid w:val="00EF1B95"/>
    <w:rsid w:val="00EF3265"/>
    <w:rsid w:val="00EF3C1E"/>
    <w:rsid w:val="00EF5C56"/>
    <w:rsid w:val="00EF5D90"/>
    <w:rsid w:val="00EF5F21"/>
    <w:rsid w:val="00EF60A7"/>
    <w:rsid w:val="00F04400"/>
    <w:rsid w:val="00F07BF5"/>
    <w:rsid w:val="00F106CA"/>
    <w:rsid w:val="00F124EF"/>
    <w:rsid w:val="00F12794"/>
    <w:rsid w:val="00F14A8B"/>
    <w:rsid w:val="00F14EC0"/>
    <w:rsid w:val="00F153A4"/>
    <w:rsid w:val="00F15985"/>
    <w:rsid w:val="00F1651A"/>
    <w:rsid w:val="00F16A55"/>
    <w:rsid w:val="00F20C8A"/>
    <w:rsid w:val="00F210B5"/>
    <w:rsid w:val="00F214B1"/>
    <w:rsid w:val="00F21992"/>
    <w:rsid w:val="00F21DD8"/>
    <w:rsid w:val="00F22954"/>
    <w:rsid w:val="00F2484C"/>
    <w:rsid w:val="00F253B5"/>
    <w:rsid w:val="00F258D0"/>
    <w:rsid w:val="00F264F6"/>
    <w:rsid w:val="00F31DBA"/>
    <w:rsid w:val="00F31E19"/>
    <w:rsid w:val="00F32B1B"/>
    <w:rsid w:val="00F404DE"/>
    <w:rsid w:val="00F429FC"/>
    <w:rsid w:val="00F4747C"/>
    <w:rsid w:val="00F47A1E"/>
    <w:rsid w:val="00F500B6"/>
    <w:rsid w:val="00F5165D"/>
    <w:rsid w:val="00F523A2"/>
    <w:rsid w:val="00F5330C"/>
    <w:rsid w:val="00F53E82"/>
    <w:rsid w:val="00F551E6"/>
    <w:rsid w:val="00F5568F"/>
    <w:rsid w:val="00F57588"/>
    <w:rsid w:val="00F577BE"/>
    <w:rsid w:val="00F60FED"/>
    <w:rsid w:val="00F61DA9"/>
    <w:rsid w:val="00F63B56"/>
    <w:rsid w:val="00F63E5F"/>
    <w:rsid w:val="00F6534A"/>
    <w:rsid w:val="00F67233"/>
    <w:rsid w:val="00F67ABD"/>
    <w:rsid w:val="00F705B7"/>
    <w:rsid w:val="00F71BEE"/>
    <w:rsid w:val="00F729AB"/>
    <w:rsid w:val="00F73D68"/>
    <w:rsid w:val="00F74919"/>
    <w:rsid w:val="00F74B2D"/>
    <w:rsid w:val="00F75D03"/>
    <w:rsid w:val="00F766E3"/>
    <w:rsid w:val="00F76F2A"/>
    <w:rsid w:val="00F80902"/>
    <w:rsid w:val="00F80BF3"/>
    <w:rsid w:val="00F8299D"/>
    <w:rsid w:val="00F82D77"/>
    <w:rsid w:val="00F87E3F"/>
    <w:rsid w:val="00F92E54"/>
    <w:rsid w:val="00FA1CA1"/>
    <w:rsid w:val="00FA1F85"/>
    <w:rsid w:val="00FA2746"/>
    <w:rsid w:val="00FA47E7"/>
    <w:rsid w:val="00FA7B5B"/>
    <w:rsid w:val="00FA7BC6"/>
    <w:rsid w:val="00FB20EF"/>
    <w:rsid w:val="00FB29C8"/>
    <w:rsid w:val="00FB3446"/>
    <w:rsid w:val="00FB3773"/>
    <w:rsid w:val="00FB4616"/>
    <w:rsid w:val="00FB4C10"/>
    <w:rsid w:val="00FB665A"/>
    <w:rsid w:val="00FB681F"/>
    <w:rsid w:val="00FB6D28"/>
    <w:rsid w:val="00FC077F"/>
    <w:rsid w:val="00FC0F01"/>
    <w:rsid w:val="00FC27B3"/>
    <w:rsid w:val="00FC353C"/>
    <w:rsid w:val="00FC6CB5"/>
    <w:rsid w:val="00FC75F3"/>
    <w:rsid w:val="00FD12C6"/>
    <w:rsid w:val="00FD56B9"/>
    <w:rsid w:val="00FD5E8A"/>
    <w:rsid w:val="00FD73F8"/>
    <w:rsid w:val="00FE0521"/>
    <w:rsid w:val="00FE1170"/>
    <w:rsid w:val="00FE2378"/>
    <w:rsid w:val="00FE274C"/>
    <w:rsid w:val="00FE34F3"/>
    <w:rsid w:val="00FE3A2F"/>
    <w:rsid w:val="00FE73DE"/>
    <w:rsid w:val="00FE7871"/>
    <w:rsid w:val="00FF04E2"/>
    <w:rsid w:val="00FF2785"/>
    <w:rsid w:val="00FF424F"/>
    <w:rsid w:val="00FF6360"/>
    <w:rsid w:val="00FF7488"/>
    <w:rsid w:val="01136DD0"/>
    <w:rsid w:val="0174153B"/>
    <w:rsid w:val="018E2CA3"/>
    <w:rsid w:val="01AF2BD5"/>
    <w:rsid w:val="01B67874"/>
    <w:rsid w:val="01CB4343"/>
    <w:rsid w:val="01CB4377"/>
    <w:rsid w:val="01CE69D2"/>
    <w:rsid w:val="01DC541C"/>
    <w:rsid w:val="01EA2904"/>
    <w:rsid w:val="01EB77A4"/>
    <w:rsid w:val="02293D23"/>
    <w:rsid w:val="024059E6"/>
    <w:rsid w:val="02453A7B"/>
    <w:rsid w:val="026B1DA5"/>
    <w:rsid w:val="028F5518"/>
    <w:rsid w:val="02F34810"/>
    <w:rsid w:val="03247779"/>
    <w:rsid w:val="032C2174"/>
    <w:rsid w:val="033F4A9C"/>
    <w:rsid w:val="038E7886"/>
    <w:rsid w:val="03B33BF0"/>
    <w:rsid w:val="03DF3ACD"/>
    <w:rsid w:val="04497B0C"/>
    <w:rsid w:val="04600D3C"/>
    <w:rsid w:val="04A131FB"/>
    <w:rsid w:val="04CC3063"/>
    <w:rsid w:val="04DF0038"/>
    <w:rsid w:val="050E1D51"/>
    <w:rsid w:val="0591572B"/>
    <w:rsid w:val="05A271A9"/>
    <w:rsid w:val="05DC6BD0"/>
    <w:rsid w:val="05E54D92"/>
    <w:rsid w:val="06124779"/>
    <w:rsid w:val="064D528B"/>
    <w:rsid w:val="06592A6F"/>
    <w:rsid w:val="06941AFE"/>
    <w:rsid w:val="06C26968"/>
    <w:rsid w:val="06E35FDB"/>
    <w:rsid w:val="06EA18AF"/>
    <w:rsid w:val="06F65A81"/>
    <w:rsid w:val="070F3017"/>
    <w:rsid w:val="071162AD"/>
    <w:rsid w:val="071E2AED"/>
    <w:rsid w:val="07226CBA"/>
    <w:rsid w:val="076D0A13"/>
    <w:rsid w:val="07857CFE"/>
    <w:rsid w:val="07876EC0"/>
    <w:rsid w:val="079805FA"/>
    <w:rsid w:val="079C0DC6"/>
    <w:rsid w:val="07A7451B"/>
    <w:rsid w:val="07A93D7D"/>
    <w:rsid w:val="07CE4B0D"/>
    <w:rsid w:val="07E37791"/>
    <w:rsid w:val="08327F01"/>
    <w:rsid w:val="083D3A08"/>
    <w:rsid w:val="084F4AC8"/>
    <w:rsid w:val="08F543F1"/>
    <w:rsid w:val="08F93995"/>
    <w:rsid w:val="09093D59"/>
    <w:rsid w:val="096E4A13"/>
    <w:rsid w:val="09846F37"/>
    <w:rsid w:val="099120C3"/>
    <w:rsid w:val="0A031EA5"/>
    <w:rsid w:val="0A3F0C90"/>
    <w:rsid w:val="0A616F05"/>
    <w:rsid w:val="0A733D32"/>
    <w:rsid w:val="0AA22EEC"/>
    <w:rsid w:val="0AB44254"/>
    <w:rsid w:val="0AD060FB"/>
    <w:rsid w:val="0AD669B5"/>
    <w:rsid w:val="0B0778C8"/>
    <w:rsid w:val="0B0C38C9"/>
    <w:rsid w:val="0B564A40"/>
    <w:rsid w:val="0B6C70DE"/>
    <w:rsid w:val="0B8E7EF2"/>
    <w:rsid w:val="0BA36BB5"/>
    <w:rsid w:val="0BBF1689"/>
    <w:rsid w:val="0BD96286"/>
    <w:rsid w:val="0C161859"/>
    <w:rsid w:val="0C1B44F6"/>
    <w:rsid w:val="0C27561C"/>
    <w:rsid w:val="0C485F9B"/>
    <w:rsid w:val="0CC16AE8"/>
    <w:rsid w:val="0CF37DD7"/>
    <w:rsid w:val="0D75221C"/>
    <w:rsid w:val="0D963C03"/>
    <w:rsid w:val="0DB956AC"/>
    <w:rsid w:val="0E051597"/>
    <w:rsid w:val="0E1506E0"/>
    <w:rsid w:val="0E2E7560"/>
    <w:rsid w:val="0E85101A"/>
    <w:rsid w:val="0E89041A"/>
    <w:rsid w:val="0E9359EB"/>
    <w:rsid w:val="0ED55D3A"/>
    <w:rsid w:val="0EE6569F"/>
    <w:rsid w:val="0F1C1C0A"/>
    <w:rsid w:val="0F490181"/>
    <w:rsid w:val="0F4C5C26"/>
    <w:rsid w:val="0F4D35E4"/>
    <w:rsid w:val="0F536A2A"/>
    <w:rsid w:val="0F7B3440"/>
    <w:rsid w:val="0FA85019"/>
    <w:rsid w:val="102352F3"/>
    <w:rsid w:val="10276320"/>
    <w:rsid w:val="109F730F"/>
    <w:rsid w:val="10AD0B06"/>
    <w:rsid w:val="10C0301B"/>
    <w:rsid w:val="10C11A30"/>
    <w:rsid w:val="10DF5B3E"/>
    <w:rsid w:val="10EC537D"/>
    <w:rsid w:val="110D549E"/>
    <w:rsid w:val="11115C8E"/>
    <w:rsid w:val="11261494"/>
    <w:rsid w:val="11F426A8"/>
    <w:rsid w:val="12252A30"/>
    <w:rsid w:val="125D6515"/>
    <w:rsid w:val="12AA6EFE"/>
    <w:rsid w:val="12C24582"/>
    <w:rsid w:val="12C3389D"/>
    <w:rsid w:val="132B7075"/>
    <w:rsid w:val="139544A0"/>
    <w:rsid w:val="13BA59C9"/>
    <w:rsid w:val="13FB4C12"/>
    <w:rsid w:val="1404695E"/>
    <w:rsid w:val="14057E7D"/>
    <w:rsid w:val="141B43E1"/>
    <w:rsid w:val="14291EED"/>
    <w:rsid w:val="14581C89"/>
    <w:rsid w:val="147D6371"/>
    <w:rsid w:val="1499251A"/>
    <w:rsid w:val="14FE16BE"/>
    <w:rsid w:val="151D5B27"/>
    <w:rsid w:val="1522248E"/>
    <w:rsid w:val="158E2C30"/>
    <w:rsid w:val="1596003C"/>
    <w:rsid w:val="15A17E74"/>
    <w:rsid w:val="160E42DB"/>
    <w:rsid w:val="16217443"/>
    <w:rsid w:val="16227024"/>
    <w:rsid w:val="164C7C22"/>
    <w:rsid w:val="16590950"/>
    <w:rsid w:val="16B1024C"/>
    <w:rsid w:val="16C058AB"/>
    <w:rsid w:val="16C13659"/>
    <w:rsid w:val="16D02079"/>
    <w:rsid w:val="16D14466"/>
    <w:rsid w:val="16DC55D2"/>
    <w:rsid w:val="16ED0F9E"/>
    <w:rsid w:val="16FE719A"/>
    <w:rsid w:val="17232B96"/>
    <w:rsid w:val="17793B5D"/>
    <w:rsid w:val="17847FB4"/>
    <w:rsid w:val="17AD0AD1"/>
    <w:rsid w:val="17D77BB5"/>
    <w:rsid w:val="18370096"/>
    <w:rsid w:val="18873C09"/>
    <w:rsid w:val="18C36B03"/>
    <w:rsid w:val="18E347AF"/>
    <w:rsid w:val="18E83819"/>
    <w:rsid w:val="1912658D"/>
    <w:rsid w:val="193C2E09"/>
    <w:rsid w:val="19AA5A26"/>
    <w:rsid w:val="1A030CBC"/>
    <w:rsid w:val="1A0C2B72"/>
    <w:rsid w:val="1AFB3884"/>
    <w:rsid w:val="1B1154E9"/>
    <w:rsid w:val="1B287023"/>
    <w:rsid w:val="1B446A97"/>
    <w:rsid w:val="1B4E510B"/>
    <w:rsid w:val="1B950FA9"/>
    <w:rsid w:val="1BA53D3E"/>
    <w:rsid w:val="1BC0721A"/>
    <w:rsid w:val="1BCE11B1"/>
    <w:rsid w:val="1C3F0468"/>
    <w:rsid w:val="1C4F276B"/>
    <w:rsid w:val="1C520A2D"/>
    <w:rsid w:val="1C6760AA"/>
    <w:rsid w:val="1C78396C"/>
    <w:rsid w:val="1CA67A33"/>
    <w:rsid w:val="1CBD6FC8"/>
    <w:rsid w:val="1CBE1616"/>
    <w:rsid w:val="1CBF20C9"/>
    <w:rsid w:val="1CDA021A"/>
    <w:rsid w:val="1D263660"/>
    <w:rsid w:val="1D374133"/>
    <w:rsid w:val="1D3932BC"/>
    <w:rsid w:val="1D3E773C"/>
    <w:rsid w:val="1D4C0B96"/>
    <w:rsid w:val="1D5F0BC7"/>
    <w:rsid w:val="1D7F5EB8"/>
    <w:rsid w:val="1DB30323"/>
    <w:rsid w:val="1DC95DB8"/>
    <w:rsid w:val="1E2A01A8"/>
    <w:rsid w:val="1E474472"/>
    <w:rsid w:val="1E4E143C"/>
    <w:rsid w:val="1E53165E"/>
    <w:rsid w:val="1E6F34BC"/>
    <w:rsid w:val="1EA91513"/>
    <w:rsid w:val="1EF97044"/>
    <w:rsid w:val="1EFD0144"/>
    <w:rsid w:val="1F2116DE"/>
    <w:rsid w:val="1F270890"/>
    <w:rsid w:val="1F414C31"/>
    <w:rsid w:val="1F845D3E"/>
    <w:rsid w:val="1FAD062E"/>
    <w:rsid w:val="1FC45A9A"/>
    <w:rsid w:val="20091560"/>
    <w:rsid w:val="202466D8"/>
    <w:rsid w:val="202C6709"/>
    <w:rsid w:val="204A5093"/>
    <w:rsid w:val="212E47E2"/>
    <w:rsid w:val="21706721"/>
    <w:rsid w:val="219E2871"/>
    <w:rsid w:val="21AE013C"/>
    <w:rsid w:val="21F8192B"/>
    <w:rsid w:val="22071ADA"/>
    <w:rsid w:val="223850AB"/>
    <w:rsid w:val="22AA5C42"/>
    <w:rsid w:val="22B41CFB"/>
    <w:rsid w:val="22E40218"/>
    <w:rsid w:val="23700A77"/>
    <w:rsid w:val="23763CA7"/>
    <w:rsid w:val="239C32B1"/>
    <w:rsid w:val="23DC79A0"/>
    <w:rsid w:val="23DE2D55"/>
    <w:rsid w:val="23F70BD2"/>
    <w:rsid w:val="24047BFE"/>
    <w:rsid w:val="24203FFF"/>
    <w:rsid w:val="24412116"/>
    <w:rsid w:val="247F1D74"/>
    <w:rsid w:val="249E6BF5"/>
    <w:rsid w:val="24B725C4"/>
    <w:rsid w:val="24B878B3"/>
    <w:rsid w:val="24C14241"/>
    <w:rsid w:val="24CF6B54"/>
    <w:rsid w:val="24D27584"/>
    <w:rsid w:val="253776A6"/>
    <w:rsid w:val="258628EA"/>
    <w:rsid w:val="25926E9C"/>
    <w:rsid w:val="26314EE0"/>
    <w:rsid w:val="266534FA"/>
    <w:rsid w:val="267504AB"/>
    <w:rsid w:val="269B3AFA"/>
    <w:rsid w:val="26B231B3"/>
    <w:rsid w:val="26C105EA"/>
    <w:rsid w:val="271A4117"/>
    <w:rsid w:val="272722B3"/>
    <w:rsid w:val="274A5301"/>
    <w:rsid w:val="2767624C"/>
    <w:rsid w:val="27886763"/>
    <w:rsid w:val="2797779E"/>
    <w:rsid w:val="27B20A9C"/>
    <w:rsid w:val="27C30F99"/>
    <w:rsid w:val="27C37A10"/>
    <w:rsid w:val="27CD3754"/>
    <w:rsid w:val="27D07A77"/>
    <w:rsid w:val="280612CD"/>
    <w:rsid w:val="281B0055"/>
    <w:rsid w:val="28374E84"/>
    <w:rsid w:val="286B5F26"/>
    <w:rsid w:val="2880203F"/>
    <w:rsid w:val="289476E2"/>
    <w:rsid w:val="28B44601"/>
    <w:rsid w:val="29215BFC"/>
    <w:rsid w:val="292802DF"/>
    <w:rsid w:val="297357C9"/>
    <w:rsid w:val="297B55BC"/>
    <w:rsid w:val="29A35284"/>
    <w:rsid w:val="2A3A2E28"/>
    <w:rsid w:val="2A3F7DB9"/>
    <w:rsid w:val="2A973939"/>
    <w:rsid w:val="2A9F0402"/>
    <w:rsid w:val="2ABA4BDE"/>
    <w:rsid w:val="2AD064A4"/>
    <w:rsid w:val="2B0278AE"/>
    <w:rsid w:val="2B3178E9"/>
    <w:rsid w:val="2B5008BB"/>
    <w:rsid w:val="2BA7328F"/>
    <w:rsid w:val="2BD61AF4"/>
    <w:rsid w:val="2BE30EC6"/>
    <w:rsid w:val="2BEF4B96"/>
    <w:rsid w:val="2C0074DC"/>
    <w:rsid w:val="2C013348"/>
    <w:rsid w:val="2C100864"/>
    <w:rsid w:val="2C2A1363"/>
    <w:rsid w:val="2C997FBB"/>
    <w:rsid w:val="2D0047DA"/>
    <w:rsid w:val="2D461786"/>
    <w:rsid w:val="2D8C2570"/>
    <w:rsid w:val="2D937EED"/>
    <w:rsid w:val="2DF94F4F"/>
    <w:rsid w:val="2E0E59E0"/>
    <w:rsid w:val="2E53240A"/>
    <w:rsid w:val="2E885AD5"/>
    <w:rsid w:val="2E8E474F"/>
    <w:rsid w:val="2EA9559B"/>
    <w:rsid w:val="2EAD5797"/>
    <w:rsid w:val="2EAE3099"/>
    <w:rsid w:val="2EB73258"/>
    <w:rsid w:val="2ED12A26"/>
    <w:rsid w:val="2EFB2F19"/>
    <w:rsid w:val="2F056CB8"/>
    <w:rsid w:val="2F237443"/>
    <w:rsid w:val="2F3641C3"/>
    <w:rsid w:val="2F6E004D"/>
    <w:rsid w:val="2F840739"/>
    <w:rsid w:val="2F957929"/>
    <w:rsid w:val="2FDD109D"/>
    <w:rsid w:val="2FFB653D"/>
    <w:rsid w:val="30561DCE"/>
    <w:rsid w:val="307407F8"/>
    <w:rsid w:val="30772EA2"/>
    <w:rsid w:val="30836033"/>
    <w:rsid w:val="30A4221E"/>
    <w:rsid w:val="30A65AA7"/>
    <w:rsid w:val="30C90B23"/>
    <w:rsid w:val="30CC1127"/>
    <w:rsid w:val="30CF4D6D"/>
    <w:rsid w:val="30DE6AC6"/>
    <w:rsid w:val="30E97C6D"/>
    <w:rsid w:val="30F97900"/>
    <w:rsid w:val="31167641"/>
    <w:rsid w:val="313E27A5"/>
    <w:rsid w:val="31527F7A"/>
    <w:rsid w:val="319C2F1D"/>
    <w:rsid w:val="31A52558"/>
    <w:rsid w:val="3213188E"/>
    <w:rsid w:val="321954C8"/>
    <w:rsid w:val="32805D71"/>
    <w:rsid w:val="32845E07"/>
    <w:rsid w:val="32853215"/>
    <w:rsid w:val="32926077"/>
    <w:rsid w:val="32AF2BBC"/>
    <w:rsid w:val="32D57E3C"/>
    <w:rsid w:val="32F307F7"/>
    <w:rsid w:val="330C1151"/>
    <w:rsid w:val="331F55C4"/>
    <w:rsid w:val="332575D6"/>
    <w:rsid w:val="33B73867"/>
    <w:rsid w:val="33BD70B8"/>
    <w:rsid w:val="33CE00E7"/>
    <w:rsid w:val="341B0CB4"/>
    <w:rsid w:val="342B5E0A"/>
    <w:rsid w:val="34AD7B1C"/>
    <w:rsid w:val="34AF001A"/>
    <w:rsid w:val="34CD1FC7"/>
    <w:rsid w:val="34E20D59"/>
    <w:rsid w:val="34FB1F95"/>
    <w:rsid w:val="3500071A"/>
    <w:rsid w:val="351C7B1E"/>
    <w:rsid w:val="351E6FC4"/>
    <w:rsid w:val="35470E42"/>
    <w:rsid w:val="354C53CB"/>
    <w:rsid w:val="357520D0"/>
    <w:rsid w:val="35A15B11"/>
    <w:rsid w:val="35CC7FE5"/>
    <w:rsid w:val="36084161"/>
    <w:rsid w:val="361C07E9"/>
    <w:rsid w:val="364C106A"/>
    <w:rsid w:val="364F5BBD"/>
    <w:rsid w:val="3682542F"/>
    <w:rsid w:val="369F4C05"/>
    <w:rsid w:val="36FE19AD"/>
    <w:rsid w:val="375C5783"/>
    <w:rsid w:val="376E2F34"/>
    <w:rsid w:val="37A619CA"/>
    <w:rsid w:val="38967B30"/>
    <w:rsid w:val="38FE091B"/>
    <w:rsid w:val="39035DDC"/>
    <w:rsid w:val="398271C5"/>
    <w:rsid w:val="39AB680D"/>
    <w:rsid w:val="39D70EA8"/>
    <w:rsid w:val="39E36927"/>
    <w:rsid w:val="39E82DCE"/>
    <w:rsid w:val="39F146FB"/>
    <w:rsid w:val="3A0A0FE1"/>
    <w:rsid w:val="3A6E2253"/>
    <w:rsid w:val="3AA548EF"/>
    <w:rsid w:val="3AB31FD8"/>
    <w:rsid w:val="3B20189B"/>
    <w:rsid w:val="3B7C0D7B"/>
    <w:rsid w:val="3B821C8B"/>
    <w:rsid w:val="3C39177A"/>
    <w:rsid w:val="3C3E2A02"/>
    <w:rsid w:val="3C4475F2"/>
    <w:rsid w:val="3C6B49C4"/>
    <w:rsid w:val="3CC01A05"/>
    <w:rsid w:val="3CD57D92"/>
    <w:rsid w:val="3CDF35CE"/>
    <w:rsid w:val="3CF454F6"/>
    <w:rsid w:val="3D381BC4"/>
    <w:rsid w:val="3D4D5EC0"/>
    <w:rsid w:val="3DB534F0"/>
    <w:rsid w:val="3DB73A94"/>
    <w:rsid w:val="3DC957B6"/>
    <w:rsid w:val="3DD17E65"/>
    <w:rsid w:val="3DE61CCF"/>
    <w:rsid w:val="3E201A5A"/>
    <w:rsid w:val="3E2437D8"/>
    <w:rsid w:val="3E2B34D1"/>
    <w:rsid w:val="3E665677"/>
    <w:rsid w:val="3E724D30"/>
    <w:rsid w:val="3E9B3BDE"/>
    <w:rsid w:val="3ECE2DCD"/>
    <w:rsid w:val="3ED01A4F"/>
    <w:rsid w:val="3ED065DF"/>
    <w:rsid w:val="3EE004B6"/>
    <w:rsid w:val="3EFD3B4B"/>
    <w:rsid w:val="3F1F47CC"/>
    <w:rsid w:val="3F5402A9"/>
    <w:rsid w:val="3F707B92"/>
    <w:rsid w:val="3F783F4C"/>
    <w:rsid w:val="3FFE1A2C"/>
    <w:rsid w:val="3FFF3799"/>
    <w:rsid w:val="400178D4"/>
    <w:rsid w:val="400574A1"/>
    <w:rsid w:val="400C595B"/>
    <w:rsid w:val="400E6370"/>
    <w:rsid w:val="401D6D02"/>
    <w:rsid w:val="40F8172C"/>
    <w:rsid w:val="410F449D"/>
    <w:rsid w:val="4112537C"/>
    <w:rsid w:val="412F4ECA"/>
    <w:rsid w:val="4165781B"/>
    <w:rsid w:val="416B1D52"/>
    <w:rsid w:val="418F29D1"/>
    <w:rsid w:val="42081814"/>
    <w:rsid w:val="42084DD8"/>
    <w:rsid w:val="42391508"/>
    <w:rsid w:val="4241120F"/>
    <w:rsid w:val="424300D7"/>
    <w:rsid w:val="4247539F"/>
    <w:rsid w:val="426868E0"/>
    <w:rsid w:val="42816158"/>
    <w:rsid w:val="42914822"/>
    <w:rsid w:val="429A7E46"/>
    <w:rsid w:val="42B336B6"/>
    <w:rsid w:val="42EF179E"/>
    <w:rsid w:val="4301623B"/>
    <w:rsid w:val="43060244"/>
    <w:rsid w:val="438F5F50"/>
    <w:rsid w:val="43A06FEA"/>
    <w:rsid w:val="43C41A3A"/>
    <w:rsid w:val="43C9074F"/>
    <w:rsid w:val="43E17676"/>
    <w:rsid w:val="43E437C2"/>
    <w:rsid w:val="43E6555E"/>
    <w:rsid w:val="43EF31F4"/>
    <w:rsid w:val="43FA146B"/>
    <w:rsid w:val="43FF0660"/>
    <w:rsid w:val="445C1F47"/>
    <w:rsid w:val="445F78E4"/>
    <w:rsid w:val="44826003"/>
    <w:rsid w:val="44AA379F"/>
    <w:rsid w:val="44DB413D"/>
    <w:rsid w:val="451C0E23"/>
    <w:rsid w:val="45E529C3"/>
    <w:rsid w:val="45FA21BA"/>
    <w:rsid w:val="464A7FC0"/>
    <w:rsid w:val="465F1AAF"/>
    <w:rsid w:val="46803B35"/>
    <w:rsid w:val="46894183"/>
    <w:rsid w:val="46985ECA"/>
    <w:rsid w:val="46B57766"/>
    <w:rsid w:val="46BA6FC5"/>
    <w:rsid w:val="46C26322"/>
    <w:rsid w:val="46D37C87"/>
    <w:rsid w:val="46ED783C"/>
    <w:rsid w:val="46F21E02"/>
    <w:rsid w:val="47013EE2"/>
    <w:rsid w:val="47104169"/>
    <w:rsid w:val="47362FDE"/>
    <w:rsid w:val="47541174"/>
    <w:rsid w:val="479947AC"/>
    <w:rsid w:val="47D5708F"/>
    <w:rsid w:val="4800105E"/>
    <w:rsid w:val="48022130"/>
    <w:rsid w:val="480A4022"/>
    <w:rsid w:val="484572E6"/>
    <w:rsid w:val="4858191C"/>
    <w:rsid w:val="485D4E78"/>
    <w:rsid w:val="489B309D"/>
    <w:rsid w:val="48A3099C"/>
    <w:rsid w:val="48C94278"/>
    <w:rsid w:val="49262F41"/>
    <w:rsid w:val="49961D67"/>
    <w:rsid w:val="49C20D93"/>
    <w:rsid w:val="49CE2CD4"/>
    <w:rsid w:val="49D14D73"/>
    <w:rsid w:val="49F903FD"/>
    <w:rsid w:val="4A047F35"/>
    <w:rsid w:val="4A0945C9"/>
    <w:rsid w:val="4A2F785A"/>
    <w:rsid w:val="4A306BA1"/>
    <w:rsid w:val="4A50637C"/>
    <w:rsid w:val="4A515E5E"/>
    <w:rsid w:val="4AA94ED6"/>
    <w:rsid w:val="4ABF1E30"/>
    <w:rsid w:val="4AC67D71"/>
    <w:rsid w:val="4AD1725F"/>
    <w:rsid w:val="4AD947F9"/>
    <w:rsid w:val="4B0327C9"/>
    <w:rsid w:val="4B0B4F20"/>
    <w:rsid w:val="4B8839F5"/>
    <w:rsid w:val="4BB57C12"/>
    <w:rsid w:val="4BE903DF"/>
    <w:rsid w:val="4C317F53"/>
    <w:rsid w:val="4C4C71C6"/>
    <w:rsid w:val="4CA136CE"/>
    <w:rsid w:val="4CD10978"/>
    <w:rsid w:val="4CEA4386"/>
    <w:rsid w:val="4CEE3C5B"/>
    <w:rsid w:val="4CFB3468"/>
    <w:rsid w:val="4D2A37D3"/>
    <w:rsid w:val="4D4A487C"/>
    <w:rsid w:val="4D592AAC"/>
    <w:rsid w:val="4D94672B"/>
    <w:rsid w:val="4DC462FF"/>
    <w:rsid w:val="4DD530E1"/>
    <w:rsid w:val="4E3B6B85"/>
    <w:rsid w:val="4E790F3A"/>
    <w:rsid w:val="4E7E5F68"/>
    <w:rsid w:val="4E9C7082"/>
    <w:rsid w:val="4EA71335"/>
    <w:rsid w:val="4EFF367D"/>
    <w:rsid w:val="4F364DC6"/>
    <w:rsid w:val="4F42120C"/>
    <w:rsid w:val="4F4C0991"/>
    <w:rsid w:val="4F7D2E68"/>
    <w:rsid w:val="4FBD57C2"/>
    <w:rsid w:val="501B2AC6"/>
    <w:rsid w:val="508A7009"/>
    <w:rsid w:val="50AB5C42"/>
    <w:rsid w:val="50ED3D8A"/>
    <w:rsid w:val="51091448"/>
    <w:rsid w:val="512A483A"/>
    <w:rsid w:val="51330023"/>
    <w:rsid w:val="51851136"/>
    <w:rsid w:val="51A543A7"/>
    <w:rsid w:val="51D9610E"/>
    <w:rsid w:val="51E15781"/>
    <w:rsid w:val="51F05C6E"/>
    <w:rsid w:val="520F3A9E"/>
    <w:rsid w:val="521847A6"/>
    <w:rsid w:val="526C161E"/>
    <w:rsid w:val="5274351F"/>
    <w:rsid w:val="52C05A59"/>
    <w:rsid w:val="53792EB9"/>
    <w:rsid w:val="53942FEC"/>
    <w:rsid w:val="53956DE5"/>
    <w:rsid w:val="53A07975"/>
    <w:rsid w:val="541A79FA"/>
    <w:rsid w:val="54640986"/>
    <w:rsid w:val="547D3905"/>
    <w:rsid w:val="54815B83"/>
    <w:rsid w:val="54B72DE4"/>
    <w:rsid w:val="54BB3F58"/>
    <w:rsid w:val="54BB66F1"/>
    <w:rsid w:val="54F2644E"/>
    <w:rsid w:val="55095E77"/>
    <w:rsid w:val="55176544"/>
    <w:rsid w:val="55267E3E"/>
    <w:rsid w:val="55281FF9"/>
    <w:rsid w:val="553B7F61"/>
    <w:rsid w:val="55412404"/>
    <w:rsid w:val="554F52E1"/>
    <w:rsid w:val="556244ED"/>
    <w:rsid w:val="55B86251"/>
    <w:rsid w:val="56422199"/>
    <w:rsid w:val="56884B9E"/>
    <w:rsid w:val="56D3082A"/>
    <w:rsid w:val="56D60F12"/>
    <w:rsid w:val="57047BB6"/>
    <w:rsid w:val="572376AF"/>
    <w:rsid w:val="57442533"/>
    <w:rsid w:val="574A0556"/>
    <w:rsid w:val="57A65D3D"/>
    <w:rsid w:val="57DF4DE1"/>
    <w:rsid w:val="57EA21EB"/>
    <w:rsid w:val="57F54357"/>
    <w:rsid w:val="57FF4BFC"/>
    <w:rsid w:val="580C1456"/>
    <w:rsid w:val="584A0C49"/>
    <w:rsid w:val="5896170E"/>
    <w:rsid w:val="589636D5"/>
    <w:rsid w:val="58E62AE2"/>
    <w:rsid w:val="59134C7F"/>
    <w:rsid w:val="59177750"/>
    <w:rsid w:val="5954073A"/>
    <w:rsid w:val="596E2573"/>
    <w:rsid w:val="59700C6B"/>
    <w:rsid w:val="599976FF"/>
    <w:rsid w:val="59C56CCE"/>
    <w:rsid w:val="5A064BF3"/>
    <w:rsid w:val="5A4A1F59"/>
    <w:rsid w:val="5A4E78D8"/>
    <w:rsid w:val="5A7178A1"/>
    <w:rsid w:val="5A8F683E"/>
    <w:rsid w:val="5AA2220C"/>
    <w:rsid w:val="5AC32326"/>
    <w:rsid w:val="5ADD324F"/>
    <w:rsid w:val="5B0A11F3"/>
    <w:rsid w:val="5B6B5085"/>
    <w:rsid w:val="5B7A6096"/>
    <w:rsid w:val="5B817864"/>
    <w:rsid w:val="5B832AA1"/>
    <w:rsid w:val="5B8446C6"/>
    <w:rsid w:val="5B8D268A"/>
    <w:rsid w:val="5BB14348"/>
    <w:rsid w:val="5BB72FE9"/>
    <w:rsid w:val="5BE809FD"/>
    <w:rsid w:val="5C1C5E4D"/>
    <w:rsid w:val="5C44162D"/>
    <w:rsid w:val="5C751AF9"/>
    <w:rsid w:val="5C76468D"/>
    <w:rsid w:val="5CAC5F1E"/>
    <w:rsid w:val="5CD04AB1"/>
    <w:rsid w:val="5CDA7BFA"/>
    <w:rsid w:val="5CEC62C6"/>
    <w:rsid w:val="5CFD7CA7"/>
    <w:rsid w:val="5D105505"/>
    <w:rsid w:val="5D401BE6"/>
    <w:rsid w:val="5D43246F"/>
    <w:rsid w:val="5D457716"/>
    <w:rsid w:val="5D572EC8"/>
    <w:rsid w:val="5D582FDE"/>
    <w:rsid w:val="5D5B5241"/>
    <w:rsid w:val="5D5F3E0E"/>
    <w:rsid w:val="5E1F410C"/>
    <w:rsid w:val="5E2A2147"/>
    <w:rsid w:val="5E3116C6"/>
    <w:rsid w:val="5E5F24A7"/>
    <w:rsid w:val="5E843534"/>
    <w:rsid w:val="5EBA418A"/>
    <w:rsid w:val="5ECC4D8F"/>
    <w:rsid w:val="5EE677BB"/>
    <w:rsid w:val="5F091F92"/>
    <w:rsid w:val="5F466810"/>
    <w:rsid w:val="5F5062D1"/>
    <w:rsid w:val="5F5D59E7"/>
    <w:rsid w:val="5F6D5E6D"/>
    <w:rsid w:val="5F9C0353"/>
    <w:rsid w:val="5FCA4667"/>
    <w:rsid w:val="5FD0287F"/>
    <w:rsid w:val="5FE62026"/>
    <w:rsid w:val="5FEA5AE9"/>
    <w:rsid w:val="601A1869"/>
    <w:rsid w:val="606026F2"/>
    <w:rsid w:val="6060450A"/>
    <w:rsid w:val="60CF6DDB"/>
    <w:rsid w:val="60E5072F"/>
    <w:rsid w:val="612B6851"/>
    <w:rsid w:val="613950C3"/>
    <w:rsid w:val="617E544C"/>
    <w:rsid w:val="61A0509F"/>
    <w:rsid w:val="61B663DE"/>
    <w:rsid w:val="61C664BE"/>
    <w:rsid w:val="61DE318A"/>
    <w:rsid w:val="61E24989"/>
    <w:rsid w:val="61F501A1"/>
    <w:rsid w:val="61FE2991"/>
    <w:rsid w:val="622C47F6"/>
    <w:rsid w:val="62F204AF"/>
    <w:rsid w:val="62F5798F"/>
    <w:rsid w:val="62F81F94"/>
    <w:rsid w:val="6302348F"/>
    <w:rsid w:val="63081E04"/>
    <w:rsid w:val="632A217A"/>
    <w:rsid w:val="637F2A41"/>
    <w:rsid w:val="63B6572A"/>
    <w:rsid w:val="63D87DF0"/>
    <w:rsid w:val="63FD69CB"/>
    <w:rsid w:val="641407DD"/>
    <w:rsid w:val="64235B53"/>
    <w:rsid w:val="6431011F"/>
    <w:rsid w:val="64461002"/>
    <w:rsid w:val="647E23EF"/>
    <w:rsid w:val="64894E00"/>
    <w:rsid w:val="64913613"/>
    <w:rsid w:val="64AB631A"/>
    <w:rsid w:val="64AF6041"/>
    <w:rsid w:val="64D47934"/>
    <w:rsid w:val="65133A91"/>
    <w:rsid w:val="655669A0"/>
    <w:rsid w:val="65796A6A"/>
    <w:rsid w:val="658C2A65"/>
    <w:rsid w:val="658E53FE"/>
    <w:rsid w:val="65AD69D2"/>
    <w:rsid w:val="65B417B6"/>
    <w:rsid w:val="65EF675E"/>
    <w:rsid w:val="65F7219E"/>
    <w:rsid w:val="66325707"/>
    <w:rsid w:val="66512C8D"/>
    <w:rsid w:val="66720A52"/>
    <w:rsid w:val="66A77E03"/>
    <w:rsid w:val="66B618E7"/>
    <w:rsid w:val="67072623"/>
    <w:rsid w:val="67096095"/>
    <w:rsid w:val="671A2959"/>
    <w:rsid w:val="672D6A47"/>
    <w:rsid w:val="677372ED"/>
    <w:rsid w:val="67896519"/>
    <w:rsid w:val="67C73B34"/>
    <w:rsid w:val="67FD720B"/>
    <w:rsid w:val="6823130A"/>
    <w:rsid w:val="684471E2"/>
    <w:rsid w:val="684A7A63"/>
    <w:rsid w:val="68C54A32"/>
    <w:rsid w:val="690275D4"/>
    <w:rsid w:val="69387D76"/>
    <w:rsid w:val="6944148E"/>
    <w:rsid w:val="69752784"/>
    <w:rsid w:val="69932670"/>
    <w:rsid w:val="699F0F86"/>
    <w:rsid w:val="69A4594A"/>
    <w:rsid w:val="69C8186D"/>
    <w:rsid w:val="69D8286C"/>
    <w:rsid w:val="6A27287A"/>
    <w:rsid w:val="6A2F627B"/>
    <w:rsid w:val="6A3073A9"/>
    <w:rsid w:val="6A7A33FB"/>
    <w:rsid w:val="6AEB1359"/>
    <w:rsid w:val="6AF847EC"/>
    <w:rsid w:val="6B061A77"/>
    <w:rsid w:val="6B266346"/>
    <w:rsid w:val="6B3E619C"/>
    <w:rsid w:val="6B5E0941"/>
    <w:rsid w:val="6BB21B15"/>
    <w:rsid w:val="6BC81682"/>
    <w:rsid w:val="6BD8350F"/>
    <w:rsid w:val="6BEE315A"/>
    <w:rsid w:val="6C255F65"/>
    <w:rsid w:val="6C31420B"/>
    <w:rsid w:val="6C9507F0"/>
    <w:rsid w:val="6CB03D7B"/>
    <w:rsid w:val="6CCB3D27"/>
    <w:rsid w:val="6CD26912"/>
    <w:rsid w:val="6CF223D5"/>
    <w:rsid w:val="6D006A21"/>
    <w:rsid w:val="6D211BB1"/>
    <w:rsid w:val="6D9E1656"/>
    <w:rsid w:val="6DD1423F"/>
    <w:rsid w:val="6DDA2B27"/>
    <w:rsid w:val="6DDC12C3"/>
    <w:rsid w:val="6DF21C9F"/>
    <w:rsid w:val="6E0B7E97"/>
    <w:rsid w:val="6E1014F5"/>
    <w:rsid w:val="6E564E25"/>
    <w:rsid w:val="6E5F1F17"/>
    <w:rsid w:val="6E7B7238"/>
    <w:rsid w:val="6EF22C93"/>
    <w:rsid w:val="6EF44B89"/>
    <w:rsid w:val="6EFA0D93"/>
    <w:rsid w:val="6F0F39C9"/>
    <w:rsid w:val="6F1435CE"/>
    <w:rsid w:val="6F3A04DA"/>
    <w:rsid w:val="6F95122D"/>
    <w:rsid w:val="6FAC599B"/>
    <w:rsid w:val="6FC80F07"/>
    <w:rsid w:val="702254D2"/>
    <w:rsid w:val="70242E3B"/>
    <w:rsid w:val="702F04A3"/>
    <w:rsid w:val="70353A45"/>
    <w:rsid w:val="7039763B"/>
    <w:rsid w:val="705913C1"/>
    <w:rsid w:val="708628B3"/>
    <w:rsid w:val="70EE7817"/>
    <w:rsid w:val="71043729"/>
    <w:rsid w:val="711159FB"/>
    <w:rsid w:val="71207613"/>
    <w:rsid w:val="71261E75"/>
    <w:rsid w:val="71624111"/>
    <w:rsid w:val="718861CA"/>
    <w:rsid w:val="71906798"/>
    <w:rsid w:val="71B23E78"/>
    <w:rsid w:val="71B93458"/>
    <w:rsid w:val="71BA3AA1"/>
    <w:rsid w:val="71F25DC5"/>
    <w:rsid w:val="72093CD1"/>
    <w:rsid w:val="72210204"/>
    <w:rsid w:val="72451404"/>
    <w:rsid w:val="72695EA8"/>
    <w:rsid w:val="729918FB"/>
    <w:rsid w:val="72BC113A"/>
    <w:rsid w:val="72CD72E7"/>
    <w:rsid w:val="72E80AB1"/>
    <w:rsid w:val="73021549"/>
    <w:rsid w:val="7334785B"/>
    <w:rsid w:val="734A4B9B"/>
    <w:rsid w:val="735327C7"/>
    <w:rsid w:val="73842AF5"/>
    <w:rsid w:val="73927356"/>
    <w:rsid w:val="73AF02D4"/>
    <w:rsid w:val="73CB2EE8"/>
    <w:rsid w:val="73EA064B"/>
    <w:rsid w:val="74BE23B5"/>
    <w:rsid w:val="755E476E"/>
    <w:rsid w:val="75637012"/>
    <w:rsid w:val="757D17DF"/>
    <w:rsid w:val="757E4D1C"/>
    <w:rsid w:val="75890178"/>
    <w:rsid w:val="759E2A82"/>
    <w:rsid w:val="75B30B3A"/>
    <w:rsid w:val="75C72F5B"/>
    <w:rsid w:val="75D01D0B"/>
    <w:rsid w:val="75D146C9"/>
    <w:rsid w:val="75F01BE2"/>
    <w:rsid w:val="76136674"/>
    <w:rsid w:val="762D38D0"/>
    <w:rsid w:val="763350B2"/>
    <w:rsid w:val="766A27CF"/>
    <w:rsid w:val="76B9382B"/>
    <w:rsid w:val="76CF10EE"/>
    <w:rsid w:val="77073296"/>
    <w:rsid w:val="771F06D5"/>
    <w:rsid w:val="77474548"/>
    <w:rsid w:val="774E0222"/>
    <w:rsid w:val="776D4EE4"/>
    <w:rsid w:val="776F2AC4"/>
    <w:rsid w:val="77A175CE"/>
    <w:rsid w:val="77A70D6C"/>
    <w:rsid w:val="77C30B12"/>
    <w:rsid w:val="77C3243A"/>
    <w:rsid w:val="77CF2C72"/>
    <w:rsid w:val="77D56767"/>
    <w:rsid w:val="78147617"/>
    <w:rsid w:val="78523C77"/>
    <w:rsid w:val="78551A03"/>
    <w:rsid w:val="785A372E"/>
    <w:rsid w:val="786642B6"/>
    <w:rsid w:val="788605C0"/>
    <w:rsid w:val="78C227DF"/>
    <w:rsid w:val="792F6D35"/>
    <w:rsid w:val="79573EE4"/>
    <w:rsid w:val="7967475D"/>
    <w:rsid w:val="79B5397E"/>
    <w:rsid w:val="79C47603"/>
    <w:rsid w:val="79E6E93D"/>
    <w:rsid w:val="79F715B8"/>
    <w:rsid w:val="7A0C68B0"/>
    <w:rsid w:val="7A2E6229"/>
    <w:rsid w:val="7A5356C9"/>
    <w:rsid w:val="7A58362C"/>
    <w:rsid w:val="7A6E1328"/>
    <w:rsid w:val="7ADF3337"/>
    <w:rsid w:val="7B6D4ED3"/>
    <w:rsid w:val="7B7207FB"/>
    <w:rsid w:val="7B781DA3"/>
    <w:rsid w:val="7B884D75"/>
    <w:rsid w:val="7C195DBF"/>
    <w:rsid w:val="7D005965"/>
    <w:rsid w:val="7D071E18"/>
    <w:rsid w:val="7D8C4AD5"/>
    <w:rsid w:val="7D9A7346"/>
    <w:rsid w:val="7DBB5BE6"/>
    <w:rsid w:val="7DEE0960"/>
    <w:rsid w:val="7E232AA3"/>
    <w:rsid w:val="7E42432E"/>
    <w:rsid w:val="7E9D34A9"/>
    <w:rsid w:val="7EA361A9"/>
    <w:rsid w:val="7EF90336"/>
    <w:rsid w:val="7F0E5654"/>
    <w:rsid w:val="7F5F7995"/>
    <w:rsid w:val="7F80048E"/>
    <w:rsid w:val="7F863C98"/>
    <w:rsid w:val="7FA243A0"/>
    <w:rsid w:val="7FB56A87"/>
    <w:rsid w:val="7FDE355F"/>
    <w:rsid w:val="DE9F9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5">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44"/>
    <w:unhideWhenUsed/>
    <w:qFormat/>
    <w:uiPriority w:val="99"/>
    <w:pPr>
      <w:spacing w:after="120"/>
    </w:pPr>
    <w:rPr>
      <w:rFonts w:ascii="Calibri" w:hAnsi="Calibri" w:eastAsia="宋体" w:cs="Times New Roman"/>
      <w:szCs w:val="24"/>
    </w:rPr>
  </w:style>
  <w:style w:type="paragraph" w:styleId="3">
    <w:name w:val="Body Text First Indent"/>
    <w:basedOn w:val="1"/>
    <w:qFormat/>
    <w:uiPriority w:val="99"/>
    <w:pPr>
      <w:ind w:firstLine="420" w:firstLineChars="100"/>
    </w:pPr>
    <w:rPr>
      <w:rFonts w:ascii="Verdana" w:hAnsi="Verdana" w:eastAsia="宋体" w:cs="Times New Roman"/>
      <w:b/>
      <w:i/>
      <w:iCs/>
      <w:color w:val="000000"/>
    </w:rPr>
  </w:style>
  <w:style w:type="paragraph" w:styleId="8">
    <w:name w:val="annotation subject"/>
    <w:basedOn w:val="9"/>
    <w:next w:val="9"/>
    <w:link w:val="31"/>
    <w:unhideWhenUsed/>
    <w:qFormat/>
    <w:uiPriority w:val="0"/>
    <w:rPr>
      <w:b/>
      <w:bCs/>
    </w:rPr>
  </w:style>
  <w:style w:type="paragraph" w:styleId="9">
    <w:name w:val="annotation text"/>
    <w:basedOn w:val="1"/>
    <w:link w:val="29"/>
    <w:unhideWhenUsed/>
    <w:qFormat/>
    <w:uiPriority w:val="0"/>
    <w:pPr>
      <w:jc w:val="left"/>
    </w:pPr>
  </w:style>
  <w:style w:type="paragraph" w:styleId="10">
    <w:name w:val="Normal Indent"/>
    <w:basedOn w:val="1"/>
    <w:qFormat/>
    <w:uiPriority w:val="99"/>
    <w:pPr>
      <w:spacing w:line="60" w:lineRule="auto"/>
      <w:ind w:firstLine="420" w:firstLineChars="200"/>
    </w:pPr>
    <w:rPr>
      <w:rFonts w:ascii="Times New Roman" w:hAnsi="Times New Roman" w:eastAsia="宋体" w:cs="Times New Roman"/>
      <w:szCs w:val="21"/>
    </w:rPr>
  </w:style>
  <w:style w:type="paragraph" w:styleId="11">
    <w:name w:val="toc 5"/>
    <w:basedOn w:val="1"/>
    <w:next w:val="1"/>
    <w:unhideWhenUsed/>
    <w:qFormat/>
    <w:uiPriority w:val="39"/>
    <w:pPr>
      <w:ind w:left="1680" w:leftChars="800"/>
    </w:pPr>
  </w:style>
  <w:style w:type="paragraph" w:styleId="12">
    <w:name w:val="Plain Text"/>
    <w:basedOn w:val="1"/>
    <w:link w:val="34"/>
    <w:qFormat/>
    <w:uiPriority w:val="0"/>
    <w:rPr>
      <w:rFonts w:ascii="宋体" w:hAnsi="Courier New" w:eastAsia="宋体" w:cs="Times New Roman"/>
      <w:kern w:val="0"/>
      <w:sz w:val="20"/>
      <w:szCs w:val="21"/>
    </w:rPr>
  </w:style>
  <w:style w:type="paragraph" w:styleId="13">
    <w:name w:val="Balloon Text"/>
    <w:basedOn w:val="1"/>
    <w:link w:val="30"/>
    <w:unhideWhenUsed/>
    <w:qFormat/>
    <w:uiPriority w:val="0"/>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7">
    <w:name w:val="Body Text Indent 3"/>
    <w:basedOn w:val="1"/>
    <w:link w:val="61"/>
    <w:qFormat/>
    <w:uiPriority w:val="0"/>
    <w:pPr>
      <w:spacing w:after="120"/>
      <w:ind w:left="420" w:leftChars="200"/>
    </w:pPr>
    <w:rPr>
      <w:rFonts w:ascii="Times New Roman" w:hAnsi="Times New Roman" w:eastAsia="宋体" w:cs="Times New Roman"/>
      <w:sz w:val="16"/>
      <w:szCs w:val="16"/>
    </w:rPr>
  </w:style>
  <w:style w:type="paragraph" w:styleId="18">
    <w:name w:val="Normal (Web)"/>
    <w:basedOn w:val="1"/>
    <w:link w:val="8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2"/>
    <w:qFormat/>
    <w:uiPriority w:val="0"/>
    <w:pPr>
      <w:spacing w:before="240" w:after="60"/>
      <w:jc w:val="center"/>
      <w:outlineLvl w:val="0"/>
    </w:pPr>
    <w:rPr>
      <w:rFonts w:eastAsia="宋体" w:asciiTheme="majorHAnsi" w:hAnsiTheme="majorHAnsi" w:cstheme="majorBidi"/>
      <w:b/>
      <w:bCs/>
      <w:sz w:val="32"/>
      <w:szCs w:val="32"/>
    </w:r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annotation reference"/>
    <w:basedOn w:val="20"/>
    <w:unhideWhenUsed/>
    <w:qFormat/>
    <w:uiPriority w:val="99"/>
    <w:rPr>
      <w:sz w:val="21"/>
      <w:szCs w:val="21"/>
    </w:r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paragraph" w:styleId="28">
    <w:name w:val="List Paragraph"/>
    <w:basedOn w:val="1"/>
    <w:link w:val="36"/>
    <w:qFormat/>
    <w:uiPriority w:val="99"/>
    <w:pPr>
      <w:ind w:firstLine="420" w:firstLineChars="200"/>
    </w:pPr>
  </w:style>
  <w:style w:type="character" w:customStyle="1" w:styleId="29">
    <w:name w:val="批注文字 字符1"/>
    <w:basedOn w:val="20"/>
    <w:link w:val="9"/>
    <w:qFormat/>
    <w:uiPriority w:val="0"/>
  </w:style>
  <w:style w:type="character" w:customStyle="1" w:styleId="30">
    <w:name w:val="批注框文本 字符1"/>
    <w:basedOn w:val="20"/>
    <w:link w:val="13"/>
    <w:semiHidden/>
    <w:qFormat/>
    <w:uiPriority w:val="99"/>
    <w:rPr>
      <w:sz w:val="18"/>
      <w:szCs w:val="18"/>
    </w:rPr>
  </w:style>
  <w:style w:type="character" w:customStyle="1" w:styleId="31">
    <w:name w:val="批注主题 字符1"/>
    <w:basedOn w:val="29"/>
    <w:link w:val="8"/>
    <w:qFormat/>
    <w:uiPriority w:val="0"/>
    <w:rPr>
      <w:b/>
      <w:bCs/>
    </w:rPr>
  </w:style>
  <w:style w:type="character" w:customStyle="1" w:styleId="32">
    <w:name w:val="标题 字符"/>
    <w:basedOn w:val="20"/>
    <w:link w:val="19"/>
    <w:qFormat/>
    <w:uiPriority w:val="0"/>
    <w:rPr>
      <w:rFonts w:eastAsia="宋体" w:asciiTheme="majorHAnsi" w:hAnsiTheme="majorHAnsi" w:cstheme="majorBidi"/>
      <w:b/>
      <w:bCs/>
      <w:sz w:val="32"/>
      <w:szCs w:val="32"/>
    </w:rPr>
  </w:style>
  <w:style w:type="character" w:customStyle="1" w:styleId="33">
    <w:name w:val="标题 2 字符"/>
    <w:basedOn w:val="20"/>
    <w:link w:val="5"/>
    <w:qFormat/>
    <w:uiPriority w:val="0"/>
    <w:rPr>
      <w:rFonts w:ascii="Arial" w:hAnsi="Arial" w:eastAsia="黑体" w:cs="Times New Roman"/>
      <w:b/>
      <w:bCs/>
      <w:sz w:val="32"/>
      <w:szCs w:val="32"/>
    </w:rPr>
  </w:style>
  <w:style w:type="character" w:customStyle="1" w:styleId="34">
    <w:name w:val="纯文本 字符"/>
    <w:basedOn w:val="20"/>
    <w:link w:val="12"/>
    <w:qFormat/>
    <w:uiPriority w:val="0"/>
    <w:rPr>
      <w:rFonts w:ascii="宋体" w:hAnsi="Courier New" w:eastAsia="宋体" w:cs="Times New Roman"/>
      <w:kern w:val="0"/>
      <w:sz w:val="20"/>
      <w:szCs w:val="21"/>
    </w:rPr>
  </w:style>
  <w:style w:type="paragraph" w:customStyle="1" w:styleId="3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6">
    <w:name w:val="列表段落 字符1"/>
    <w:link w:val="28"/>
    <w:qFormat/>
    <w:uiPriority w:val="99"/>
  </w:style>
  <w:style w:type="paragraph" w:customStyle="1" w:styleId="37">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8">
    <w:name w:val="列出段落1"/>
    <w:basedOn w:val="1"/>
    <w:link w:val="39"/>
    <w:qFormat/>
    <w:uiPriority w:val="99"/>
    <w:pPr>
      <w:ind w:firstLine="420" w:firstLineChars="200"/>
    </w:pPr>
    <w:rPr>
      <w:rFonts w:ascii="Times New Roman" w:hAnsi="Times New Roman" w:eastAsia="宋体" w:cs="Times New Roman"/>
      <w:szCs w:val="21"/>
    </w:rPr>
  </w:style>
  <w:style w:type="character" w:customStyle="1" w:styleId="39">
    <w:name w:val="List Paragraph Char"/>
    <w:link w:val="38"/>
    <w:qFormat/>
    <w:locked/>
    <w:uiPriority w:val="99"/>
    <w:rPr>
      <w:rFonts w:ascii="Times New Roman" w:hAnsi="Times New Roman" w:eastAsia="宋体" w:cs="Times New Roman"/>
      <w:szCs w:val="21"/>
    </w:rPr>
  </w:style>
  <w:style w:type="paragraph" w:customStyle="1" w:styleId="40">
    <w:name w:val="_Style 121"/>
    <w:basedOn w:val="1"/>
    <w:next w:val="28"/>
    <w:qFormat/>
    <w:uiPriority w:val="34"/>
    <w:pPr>
      <w:ind w:firstLine="420" w:firstLineChars="200"/>
    </w:pPr>
    <w:rPr>
      <w:rFonts w:ascii="Calibri" w:hAnsi="Calibri" w:eastAsia="宋体" w:cs="Times New Roman"/>
    </w:rPr>
  </w:style>
  <w:style w:type="paragraph" w:customStyle="1" w:styleId="41">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正文文本 字符"/>
    <w:basedOn w:val="20"/>
    <w:link w:val="2"/>
    <w:qFormat/>
    <w:uiPriority w:val="99"/>
    <w:rPr>
      <w:rFonts w:ascii="Calibri" w:hAnsi="Calibri" w:eastAsia="宋体" w:cs="Times New Roman"/>
      <w:kern w:val="2"/>
      <w:sz w:val="21"/>
      <w:szCs w:val="24"/>
    </w:rPr>
  </w:style>
  <w:style w:type="paragraph" w:customStyle="1" w:styleId="4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标题 3 字符"/>
    <w:basedOn w:val="20"/>
    <w:link w:val="6"/>
    <w:qFormat/>
    <w:uiPriority w:val="9"/>
    <w:rPr>
      <w:rFonts w:asciiTheme="minorHAnsi" w:hAnsiTheme="minorHAnsi" w:eastAsiaTheme="minorEastAsia" w:cstheme="minorBidi"/>
      <w:b/>
      <w:bCs/>
      <w:kern w:val="2"/>
      <w:sz w:val="32"/>
      <w:szCs w:val="32"/>
    </w:rPr>
  </w:style>
  <w:style w:type="paragraph" w:customStyle="1" w:styleId="50">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1">
    <w:name w:val="font41"/>
    <w:qFormat/>
    <w:uiPriority w:val="0"/>
    <w:rPr>
      <w:rFonts w:hint="default" w:ascii="Times New Roman" w:hAnsi="Times New Roman" w:cs="Times New Roman"/>
      <w:b/>
      <w:color w:val="000000"/>
      <w:sz w:val="40"/>
      <w:szCs w:val="40"/>
      <w:u w:val="none"/>
    </w:rPr>
  </w:style>
  <w:style w:type="character" w:customStyle="1" w:styleId="52">
    <w:name w:val="font31"/>
    <w:qFormat/>
    <w:uiPriority w:val="0"/>
    <w:rPr>
      <w:rFonts w:hint="eastAsia" w:ascii="仿宋" w:hAnsi="仿宋" w:eastAsia="仿宋" w:cs="仿宋"/>
      <w:color w:val="000000"/>
      <w:sz w:val="24"/>
      <w:szCs w:val="24"/>
      <w:u w:val="none"/>
    </w:rPr>
  </w:style>
  <w:style w:type="character" w:customStyle="1" w:styleId="53">
    <w:name w:val="font11"/>
    <w:qFormat/>
    <w:uiPriority w:val="0"/>
    <w:rPr>
      <w:rFonts w:hint="eastAsia" w:ascii="宋体" w:hAnsi="宋体" w:eastAsia="宋体" w:cs="宋体"/>
      <w:b/>
      <w:color w:val="000000"/>
      <w:sz w:val="21"/>
      <w:szCs w:val="21"/>
      <w:u w:val="none"/>
    </w:rPr>
  </w:style>
  <w:style w:type="character" w:customStyle="1" w:styleId="54">
    <w:name w:val="font61"/>
    <w:qFormat/>
    <w:uiPriority w:val="0"/>
    <w:rPr>
      <w:rFonts w:hint="eastAsia" w:ascii="宋体" w:hAnsi="宋体" w:eastAsia="宋体" w:cs="宋体"/>
      <w:color w:val="000000"/>
      <w:sz w:val="24"/>
      <w:szCs w:val="24"/>
      <w:u w:val="none"/>
    </w:rPr>
  </w:style>
  <w:style w:type="character" w:customStyle="1" w:styleId="55">
    <w:name w:val="批注框文本 字符"/>
    <w:qFormat/>
    <w:uiPriority w:val="0"/>
    <w:rPr>
      <w:rFonts w:ascii="Calibri" w:hAnsi="Calibri"/>
      <w:kern w:val="2"/>
      <w:sz w:val="18"/>
      <w:szCs w:val="18"/>
    </w:rPr>
  </w:style>
  <w:style w:type="character" w:customStyle="1" w:styleId="56">
    <w:name w:val="批注文字 字符"/>
    <w:qFormat/>
    <w:uiPriority w:val="0"/>
    <w:rPr>
      <w:rFonts w:ascii="Calibri" w:hAnsi="Calibri"/>
      <w:kern w:val="2"/>
      <w:sz w:val="21"/>
      <w:szCs w:val="24"/>
    </w:rPr>
  </w:style>
  <w:style w:type="character" w:customStyle="1" w:styleId="57">
    <w:name w:val="批注主题 字符"/>
    <w:qFormat/>
    <w:uiPriority w:val="0"/>
    <w:rPr>
      <w:rFonts w:ascii="Calibri" w:hAnsi="Calibri"/>
      <w:b/>
      <w:bCs/>
      <w:kern w:val="2"/>
      <w:sz w:val="21"/>
      <w:szCs w:val="24"/>
    </w:rPr>
  </w:style>
  <w:style w:type="character" w:customStyle="1" w:styleId="58">
    <w:name w:val="标题 4 字符"/>
    <w:basedOn w:val="20"/>
    <w:link w:val="7"/>
    <w:qFormat/>
    <w:uiPriority w:val="9"/>
    <w:rPr>
      <w:rFonts w:asciiTheme="majorHAnsi" w:hAnsiTheme="majorHAnsi" w:eastAsiaTheme="majorEastAsia" w:cstheme="majorBidi"/>
      <w:b/>
      <w:bCs/>
      <w:kern w:val="2"/>
      <w:sz w:val="28"/>
      <w:szCs w:val="28"/>
    </w:rPr>
  </w:style>
  <w:style w:type="character" w:customStyle="1" w:styleId="59">
    <w:name w:val="标题 1 字符"/>
    <w:basedOn w:val="20"/>
    <w:link w:val="4"/>
    <w:qFormat/>
    <w:uiPriority w:val="0"/>
    <w:rPr>
      <w:b/>
      <w:bCs/>
      <w:kern w:val="44"/>
      <w:sz w:val="44"/>
      <w:szCs w:val="44"/>
    </w:rPr>
  </w:style>
  <w:style w:type="paragraph" w:customStyle="1" w:styleId="6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61">
    <w:name w:val="正文文本缩进 3 字符"/>
    <w:basedOn w:val="20"/>
    <w:link w:val="17"/>
    <w:qFormat/>
    <w:uiPriority w:val="0"/>
    <w:rPr>
      <w:kern w:val="2"/>
      <w:sz w:val="16"/>
      <w:szCs w:val="16"/>
    </w:rPr>
  </w:style>
  <w:style w:type="character" w:customStyle="1" w:styleId="62">
    <w:name w:val="font21"/>
    <w:basedOn w:val="20"/>
    <w:qFormat/>
    <w:uiPriority w:val="0"/>
    <w:rPr>
      <w:rFonts w:ascii="Arial" w:hAnsi="Arial" w:cs="Arial"/>
      <w:color w:val="000000"/>
      <w:sz w:val="24"/>
      <w:szCs w:val="24"/>
      <w:u w:val="none"/>
    </w:rPr>
  </w:style>
  <w:style w:type="character" w:customStyle="1" w:styleId="63">
    <w:name w:val="font01"/>
    <w:basedOn w:val="20"/>
    <w:qFormat/>
    <w:uiPriority w:val="0"/>
    <w:rPr>
      <w:rFonts w:hint="default" w:ascii="Times New Roman" w:hAnsi="Times New Roman" w:cs="Times New Roman"/>
      <w:b/>
      <w:color w:val="000000"/>
      <w:sz w:val="44"/>
      <w:szCs w:val="44"/>
      <w:u w:val="none"/>
    </w:rPr>
  </w:style>
  <w:style w:type="paragraph" w:customStyle="1" w:styleId="64">
    <w:name w:val="1"/>
    <w:basedOn w:val="1"/>
    <w:next w:val="28"/>
    <w:link w:val="65"/>
    <w:qFormat/>
    <w:uiPriority w:val="99"/>
    <w:pPr>
      <w:ind w:firstLine="420" w:firstLineChars="200"/>
    </w:pPr>
    <w:rPr>
      <w:rFonts w:ascii="Calibri" w:hAnsi="Calibri"/>
    </w:rPr>
  </w:style>
  <w:style w:type="character" w:customStyle="1" w:styleId="65">
    <w:name w:val="列表段落 字符"/>
    <w:link w:val="64"/>
    <w:qFormat/>
    <w:uiPriority w:val="34"/>
    <w:rPr>
      <w:rFonts w:eastAsiaTheme="minorEastAsia" w:cstheme="minorBidi"/>
      <w:kern w:val="2"/>
      <w:sz w:val="21"/>
      <w:szCs w:val="22"/>
    </w:rPr>
  </w:style>
  <w:style w:type="character" w:customStyle="1" w:styleId="66">
    <w:name w:val="font161"/>
    <w:basedOn w:val="20"/>
    <w:qFormat/>
    <w:uiPriority w:val="0"/>
    <w:rPr>
      <w:rFonts w:hint="default" w:ascii="Times New Roman" w:hAnsi="Times New Roman" w:cs="Times New Roman"/>
      <w:b/>
      <w:color w:val="FF0000"/>
      <w:sz w:val="22"/>
      <w:szCs w:val="22"/>
      <w:u w:val="none"/>
    </w:rPr>
  </w:style>
  <w:style w:type="character" w:customStyle="1" w:styleId="67">
    <w:name w:val="font201"/>
    <w:basedOn w:val="20"/>
    <w:qFormat/>
    <w:uiPriority w:val="0"/>
    <w:rPr>
      <w:rFonts w:hint="eastAsia" w:ascii="宋体" w:hAnsi="宋体" w:eastAsia="宋体" w:cs="宋体"/>
      <w:b/>
      <w:color w:val="FF0000"/>
      <w:sz w:val="22"/>
      <w:szCs w:val="22"/>
      <w:u w:val="none"/>
    </w:rPr>
  </w:style>
  <w:style w:type="character" w:customStyle="1" w:styleId="68">
    <w:name w:val="font101"/>
    <w:basedOn w:val="20"/>
    <w:qFormat/>
    <w:uiPriority w:val="0"/>
    <w:rPr>
      <w:rFonts w:hint="eastAsia" w:ascii="宋体" w:hAnsi="宋体" w:eastAsia="宋体" w:cs="宋体"/>
      <w:color w:val="000000"/>
      <w:sz w:val="20"/>
      <w:szCs w:val="20"/>
      <w:u w:val="none"/>
    </w:rPr>
  </w:style>
  <w:style w:type="paragraph" w:customStyle="1" w:styleId="69">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0">
    <w:name w:val="Table Text"/>
    <w:basedOn w:val="1"/>
    <w:semiHidden/>
    <w:qFormat/>
    <w:uiPriority w:val="0"/>
    <w:rPr>
      <w:rFonts w:ascii="宋体" w:hAnsi="宋体" w:eastAsia="宋体" w:cs="宋体"/>
      <w:kern w:val="0"/>
      <w:sz w:val="24"/>
      <w:szCs w:val="24"/>
      <w:lang w:eastAsia="en-US"/>
    </w:rPr>
  </w:style>
  <w:style w:type="table" w:customStyle="1" w:styleId="71">
    <w:name w:val="Table Normal"/>
    <w:semiHidden/>
    <w:unhideWhenUsed/>
    <w:qFormat/>
    <w:uiPriority w:val="0"/>
    <w:tblPr>
      <w:tblLayout w:type="fixed"/>
      <w:tblCellMar>
        <w:top w:w="0" w:type="dxa"/>
        <w:left w:w="0" w:type="dxa"/>
        <w:bottom w:w="0" w:type="dxa"/>
        <w:right w:w="0" w:type="dxa"/>
      </w:tblCellMar>
    </w:tblPr>
  </w:style>
  <w:style w:type="character" w:customStyle="1" w:styleId="72">
    <w:name w:val="批注文字 Char1"/>
    <w:basedOn w:val="20"/>
    <w:qFormat/>
    <w:uiPriority w:val="0"/>
    <w:rPr>
      <w:rFonts w:asciiTheme="minorHAnsi" w:hAnsiTheme="minorHAnsi" w:eastAsiaTheme="minorEastAsia" w:cstheme="minorBidi"/>
      <w:kern w:val="2"/>
      <w:sz w:val="21"/>
      <w:szCs w:val="22"/>
    </w:rPr>
  </w:style>
  <w:style w:type="paragraph" w:customStyle="1" w:styleId="73">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4">
    <w:name w:val="列出段落2"/>
    <w:basedOn w:val="1"/>
    <w:qFormat/>
    <w:uiPriority w:val="0"/>
    <w:pPr>
      <w:ind w:firstLine="420" w:firstLineChars="200"/>
    </w:pPr>
    <w:rPr>
      <w:rFonts w:ascii="Calibri" w:hAnsi="Calibri" w:eastAsia="宋体" w:cs="Times New Roman"/>
      <w:szCs w:val="21"/>
    </w:rPr>
  </w:style>
  <w:style w:type="paragraph" w:customStyle="1" w:styleId="75">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9"/>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8">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9">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0">
    <w:name w:val="修订1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81">
    <w:name w:val="修订1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82">
    <w:name w:val="纯文本 字符1"/>
    <w:basedOn w:val="20"/>
    <w:qFormat/>
    <w:uiPriority w:val="0"/>
    <w:rPr>
      <w:rFonts w:ascii="宋体" w:hAnsi="Courier New" w:eastAsia="宋体" w:cs="Times New Roman"/>
      <w:szCs w:val="21"/>
    </w:rPr>
  </w:style>
  <w:style w:type="character" w:customStyle="1" w:styleId="83">
    <w:name w:val="普通(网站) 字符"/>
    <w:basedOn w:val="20"/>
    <w:link w:val="18"/>
    <w:qFormat/>
    <w:uiPriority w:val="99"/>
    <w:rPr>
      <w:rFonts w:ascii="宋体" w:hAnsi="宋体" w:cs="宋体"/>
      <w:sz w:val="24"/>
      <w:szCs w:val="24"/>
    </w:rPr>
  </w:style>
  <w:style w:type="paragraph" w:customStyle="1" w:styleId="8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5F32D-0453-4CA9-8F6B-21A0D5875C2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4560</Words>
  <Characters>25997</Characters>
  <Lines>216</Lines>
  <Paragraphs>60</Paragraphs>
  <TotalTime>1</TotalTime>
  <ScaleCrop>false</ScaleCrop>
  <LinksUpToDate>false</LinksUpToDate>
  <CharactersWithSpaces>30497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2024-11-06T02:26:00Z</dcterms:created>
  <dc:creator>云采链</dc:creator>
  <cp:lastModifiedBy>采购办</cp:lastModifiedBy>
  <cp:lastPrinted>2018-10-16T20:01:00Z</cp:lastPrinted>
  <dcterms:modified xsi:type="dcterms:W3CDTF">2024-11-07T07:05:06Z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F7AA4EE1FB0404FA8CCF2166704A571A</vt:lpwstr>
  </property>
</Properties>
</file>